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D179D" w14:textId="77777777" w:rsidR="001B6FDB" w:rsidRDefault="001B6FDB" w:rsidP="006D6DE1">
      <w:pPr>
        <w:spacing w:line="360" w:lineRule="auto"/>
        <w:rPr>
          <w:rFonts w:ascii="Bookman Old Style" w:hAnsi="Bookman Old Style"/>
          <w:b/>
          <w:sz w:val="28"/>
          <w:szCs w:val="28"/>
          <w:lang w:val="en-US"/>
        </w:rPr>
      </w:pPr>
      <w:bookmarkStart w:id="0" w:name="_GoBack"/>
      <w:bookmarkEnd w:id="0"/>
    </w:p>
    <w:p w14:paraId="1CED8A89" w14:textId="77777777" w:rsidR="00757604" w:rsidRPr="004B5D91" w:rsidRDefault="00436004" w:rsidP="001B6FDB">
      <w:pPr>
        <w:spacing w:line="360" w:lineRule="auto"/>
        <w:jc w:val="center"/>
        <w:rPr>
          <w:rFonts w:ascii="Bookman Old Style" w:hAnsi="Bookman Old Style"/>
          <w:b/>
          <w:sz w:val="28"/>
          <w:szCs w:val="28"/>
          <w:lang w:val="en-US"/>
        </w:rPr>
      </w:pPr>
      <w:r w:rsidRPr="004B5D91">
        <w:rPr>
          <w:rFonts w:ascii="Bookman Old Style" w:hAnsi="Bookman Old Style"/>
          <w:b/>
          <w:sz w:val="28"/>
          <w:szCs w:val="28"/>
          <w:lang w:val="en-US"/>
        </w:rPr>
        <w:t>IN THE COURT OF APPEAL OF LESOTHO</w:t>
      </w:r>
    </w:p>
    <w:p w14:paraId="5FE8731F" w14:textId="77777777" w:rsidR="00436004" w:rsidRPr="004B5D91" w:rsidRDefault="00436004" w:rsidP="001B6FDB">
      <w:pPr>
        <w:spacing w:line="360" w:lineRule="auto"/>
        <w:jc w:val="center"/>
        <w:rPr>
          <w:rFonts w:ascii="Bookman Old Style" w:hAnsi="Bookman Old Style"/>
          <w:sz w:val="28"/>
          <w:szCs w:val="28"/>
          <w:lang w:val="en-US"/>
        </w:rPr>
      </w:pPr>
    </w:p>
    <w:p w14:paraId="739565CB" w14:textId="77777777" w:rsidR="004B5D91" w:rsidRDefault="00436004" w:rsidP="000D1B85">
      <w:pPr>
        <w:spacing w:line="360" w:lineRule="auto"/>
        <w:jc w:val="both"/>
        <w:rPr>
          <w:rFonts w:ascii="Bookman Old Style" w:hAnsi="Bookman Old Style"/>
          <w:b/>
          <w:sz w:val="28"/>
          <w:szCs w:val="28"/>
          <w:lang w:val="en-US"/>
        </w:rPr>
      </w:pPr>
      <w:r w:rsidRPr="004B5D91">
        <w:rPr>
          <w:rFonts w:ascii="Bookman Old Style" w:hAnsi="Bookman Old Style"/>
          <w:b/>
          <w:sz w:val="28"/>
          <w:szCs w:val="28"/>
          <w:lang w:val="en-US"/>
        </w:rPr>
        <w:t xml:space="preserve">HELD AT MASERU                                       </w:t>
      </w:r>
      <w:r w:rsidR="004B5D91">
        <w:rPr>
          <w:rFonts w:ascii="Bookman Old Style" w:hAnsi="Bookman Old Style"/>
          <w:b/>
          <w:sz w:val="28"/>
          <w:szCs w:val="28"/>
          <w:lang w:val="en-US"/>
        </w:rPr>
        <w:t xml:space="preserve">  </w:t>
      </w:r>
    </w:p>
    <w:p w14:paraId="07C4F976" w14:textId="287942E0" w:rsidR="001B6FDB" w:rsidRDefault="004B5D91" w:rsidP="001B6FDB">
      <w:pPr>
        <w:spacing w:line="360" w:lineRule="auto"/>
        <w:jc w:val="right"/>
        <w:rPr>
          <w:rFonts w:ascii="Bookman Old Style" w:hAnsi="Bookman Old Style"/>
          <w:b/>
          <w:sz w:val="28"/>
          <w:szCs w:val="28"/>
          <w:lang w:val="en-US"/>
        </w:rPr>
      </w:pPr>
      <w:r>
        <w:rPr>
          <w:rFonts w:ascii="Bookman Old Style" w:hAnsi="Bookman Old Style"/>
          <w:b/>
          <w:sz w:val="28"/>
          <w:szCs w:val="28"/>
          <w:lang w:val="en-US"/>
        </w:rPr>
        <w:t>C of A</w:t>
      </w:r>
      <w:r w:rsidR="001B6FDB">
        <w:rPr>
          <w:rFonts w:ascii="Bookman Old Style" w:hAnsi="Bookman Old Style"/>
          <w:b/>
          <w:sz w:val="28"/>
          <w:szCs w:val="28"/>
          <w:lang w:val="en-US"/>
        </w:rPr>
        <w:t xml:space="preserve"> </w:t>
      </w:r>
      <w:r>
        <w:rPr>
          <w:rFonts w:ascii="Bookman Old Style" w:hAnsi="Bookman Old Style"/>
          <w:b/>
          <w:sz w:val="28"/>
          <w:szCs w:val="28"/>
          <w:lang w:val="en-US"/>
        </w:rPr>
        <w:t>(CIV)</w:t>
      </w:r>
      <w:r w:rsidR="001B6FDB">
        <w:rPr>
          <w:rFonts w:ascii="Bookman Old Style" w:hAnsi="Bookman Old Style"/>
          <w:b/>
          <w:sz w:val="28"/>
          <w:szCs w:val="28"/>
          <w:lang w:val="en-US"/>
        </w:rPr>
        <w:t xml:space="preserve"> </w:t>
      </w:r>
      <w:r w:rsidR="00436004" w:rsidRPr="004B5D91">
        <w:rPr>
          <w:rFonts w:ascii="Bookman Old Style" w:hAnsi="Bookman Old Style"/>
          <w:b/>
          <w:sz w:val="28"/>
          <w:szCs w:val="28"/>
          <w:lang w:val="en-US"/>
        </w:rPr>
        <w:t>NO.: 23/2019</w:t>
      </w:r>
    </w:p>
    <w:p w14:paraId="29654FC0" w14:textId="2AA2D34C" w:rsidR="00436004" w:rsidRPr="004B5D91" w:rsidRDefault="00436004" w:rsidP="001B6FDB">
      <w:pPr>
        <w:spacing w:line="360" w:lineRule="auto"/>
        <w:jc w:val="right"/>
        <w:rPr>
          <w:rFonts w:ascii="Bookman Old Style" w:hAnsi="Bookman Old Style"/>
          <w:b/>
          <w:sz w:val="28"/>
          <w:szCs w:val="28"/>
          <w:lang w:val="en-US"/>
        </w:rPr>
      </w:pPr>
      <w:r w:rsidRPr="004B5D91">
        <w:rPr>
          <w:rFonts w:ascii="Bookman Old Style" w:hAnsi="Bookman Old Style"/>
          <w:b/>
          <w:sz w:val="28"/>
          <w:szCs w:val="28"/>
          <w:lang w:val="en-US"/>
        </w:rPr>
        <w:t>CCA/0035/2016</w:t>
      </w:r>
    </w:p>
    <w:p w14:paraId="2EB146E7" w14:textId="77777777" w:rsidR="00436004" w:rsidRPr="004B5D91" w:rsidRDefault="00436004" w:rsidP="001B6FDB">
      <w:pPr>
        <w:spacing w:line="360" w:lineRule="auto"/>
        <w:jc w:val="right"/>
        <w:rPr>
          <w:rFonts w:ascii="Bookman Old Style" w:hAnsi="Bookman Old Style"/>
          <w:b/>
          <w:sz w:val="28"/>
          <w:szCs w:val="28"/>
          <w:lang w:val="en-US"/>
        </w:rPr>
      </w:pPr>
    </w:p>
    <w:p w14:paraId="61F9D0B3" w14:textId="77777777" w:rsidR="00436004" w:rsidRPr="004B5D91" w:rsidRDefault="00436004" w:rsidP="000D1B85">
      <w:pPr>
        <w:spacing w:line="360" w:lineRule="auto"/>
        <w:jc w:val="both"/>
        <w:rPr>
          <w:rFonts w:ascii="Bookman Old Style" w:hAnsi="Bookman Old Style"/>
          <w:sz w:val="28"/>
          <w:szCs w:val="28"/>
          <w:lang w:val="en-US"/>
        </w:rPr>
      </w:pPr>
      <w:r w:rsidRPr="004B5D91">
        <w:rPr>
          <w:rFonts w:ascii="Bookman Old Style" w:hAnsi="Bookman Old Style"/>
          <w:sz w:val="28"/>
          <w:szCs w:val="28"/>
          <w:lang w:val="en-US"/>
        </w:rPr>
        <w:t>In the matter between</w:t>
      </w:r>
      <w:r w:rsidR="004B5D91">
        <w:rPr>
          <w:rFonts w:ascii="Bookman Old Style" w:hAnsi="Bookman Old Style"/>
          <w:sz w:val="28"/>
          <w:szCs w:val="28"/>
          <w:lang w:val="en-US"/>
        </w:rPr>
        <w:t>:</w:t>
      </w:r>
    </w:p>
    <w:p w14:paraId="47C8597D" w14:textId="77777777" w:rsidR="00436004" w:rsidRPr="004B5D91" w:rsidRDefault="00436004" w:rsidP="000D1B85">
      <w:pPr>
        <w:spacing w:line="360" w:lineRule="auto"/>
        <w:jc w:val="both"/>
        <w:rPr>
          <w:rFonts w:ascii="Bookman Old Style" w:hAnsi="Bookman Old Style"/>
          <w:b/>
          <w:sz w:val="28"/>
          <w:szCs w:val="28"/>
          <w:lang w:val="en-US"/>
        </w:rPr>
      </w:pPr>
    </w:p>
    <w:p w14:paraId="6C1DF0EA" w14:textId="77777777" w:rsidR="00436004" w:rsidRPr="004B5D91" w:rsidRDefault="00436004" w:rsidP="000D1B85">
      <w:pPr>
        <w:spacing w:line="360" w:lineRule="auto"/>
        <w:jc w:val="both"/>
        <w:rPr>
          <w:rFonts w:ascii="Bookman Old Style" w:hAnsi="Bookman Old Style"/>
          <w:b/>
          <w:sz w:val="28"/>
          <w:szCs w:val="28"/>
          <w:lang w:val="en-US"/>
        </w:rPr>
      </w:pPr>
      <w:r w:rsidRPr="004B5D91">
        <w:rPr>
          <w:rFonts w:ascii="Bookman Old Style" w:hAnsi="Bookman Old Style"/>
          <w:b/>
          <w:sz w:val="28"/>
          <w:szCs w:val="28"/>
          <w:lang w:val="en-US"/>
        </w:rPr>
        <w:t>LIQUIDATORS OF THOTANYANA</w:t>
      </w:r>
      <w:r w:rsidR="008C1BB2">
        <w:rPr>
          <w:rFonts w:ascii="Bookman Old Style" w:hAnsi="Bookman Old Style"/>
          <w:b/>
          <w:sz w:val="28"/>
          <w:szCs w:val="28"/>
          <w:lang w:val="en-US"/>
        </w:rPr>
        <w:t xml:space="preserve"> </w:t>
      </w:r>
      <w:r w:rsidRPr="004B5D91">
        <w:rPr>
          <w:rFonts w:ascii="Bookman Old Style" w:hAnsi="Bookman Old Style"/>
          <w:b/>
          <w:sz w:val="28"/>
          <w:szCs w:val="28"/>
          <w:lang w:val="en-US"/>
        </w:rPr>
        <w:t>MINING</w:t>
      </w:r>
    </w:p>
    <w:p w14:paraId="53B03F69" w14:textId="77777777" w:rsidR="00436004" w:rsidRPr="004B5D91" w:rsidRDefault="00436004" w:rsidP="000D1B85">
      <w:pPr>
        <w:spacing w:line="360" w:lineRule="auto"/>
        <w:jc w:val="both"/>
        <w:rPr>
          <w:rFonts w:ascii="Bookman Old Style" w:hAnsi="Bookman Old Style"/>
          <w:b/>
          <w:sz w:val="28"/>
          <w:szCs w:val="28"/>
          <w:lang w:val="en-US"/>
        </w:rPr>
      </w:pPr>
      <w:r w:rsidRPr="004B5D91">
        <w:rPr>
          <w:rFonts w:ascii="Bookman Old Style" w:hAnsi="Bookman Old Style"/>
          <w:b/>
          <w:sz w:val="28"/>
          <w:szCs w:val="28"/>
          <w:lang w:val="en-US"/>
        </w:rPr>
        <w:t>&amp; CIVIL WORKS (PTY) LTD (in liquidation)</w:t>
      </w:r>
      <w:r w:rsidRPr="004B5D91">
        <w:rPr>
          <w:rFonts w:ascii="Bookman Old Style" w:hAnsi="Bookman Old Style"/>
          <w:b/>
          <w:sz w:val="28"/>
          <w:szCs w:val="28"/>
          <w:lang w:val="en-US"/>
        </w:rPr>
        <w:tab/>
      </w:r>
      <w:r w:rsidRPr="004B5D91">
        <w:rPr>
          <w:rFonts w:ascii="Bookman Old Style" w:hAnsi="Bookman Old Style"/>
          <w:b/>
          <w:sz w:val="28"/>
          <w:szCs w:val="28"/>
          <w:lang w:val="en-US"/>
        </w:rPr>
        <w:tab/>
        <w:t>APPELLANT</w:t>
      </w:r>
    </w:p>
    <w:p w14:paraId="2B7D8978" w14:textId="77777777" w:rsidR="00436004" w:rsidRPr="004B5D91" w:rsidRDefault="00436004" w:rsidP="000D1B85">
      <w:pPr>
        <w:spacing w:line="360" w:lineRule="auto"/>
        <w:jc w:val="both"/>
        <w:rPr>
          <w:rFonts w:ascii="Bookman Old Style" w:hAnsi="Bookman Old Style"/>
          <w:b/>
          <w:sz w:val="28"/>
          <w:szCs w:val="28"/>
          <w:lang w:val="en-US"/>
        </w:rPr>
      </w:pPr>
    </w:p>
    <w:p w14:paraId="0A0F90C5" w14:textId="77777777" w:rsidR="00436004" w:rsidRPr="004B5D91" w:rsidRDefault="00436004" w:rsidP="000D1B85">
      <w:pPr>
        <w:spacing w:line="360" w:lineRule="auto"/>
        <w:jc w:val="both"/>
        <w:rPr>
          <w:rFonts w:ascii="Bookman Old Style" w:hAnsi="Bookman Old Style"/>
          <w:b/>
          <w:sz w:val="28"/>
          <w:szCs w:val="28"/>
          <w:lang w:val="en-US"/>
        </w:rPr>
      </w:pPr>
      <w:r w:rsidRPr="004B5D91">
        <w:rPr>
          <w:rFonts w:ascii="Bookman Old Style" w:hAnsi="Bookman Old Style"/>
          <w:b/>
          <w:sz w:val="28"/>
          <w:szCs w:val="28"/>
          <w:lang w:val="en-US"/>
        </w:rPr>
        <w:t>and</w:t>
      </w:r>
    </w:p>
    <w:p w14:paraId="123196AF" w14:textId="77777777" w:rsidR="00436004" w:rsidRPr="004B5D91" w:rsidRDefault="00436004" w:rsidP="000D1B85">
      <w:pPr>
        <w:spacing w:line="360" w:lineRule="auto"/>
        <w:jc w:val="both"/>
        <w:rPr>
          <w:rFonts w:ascii="Bookman Old Style" w:hAnsi="Bookman Old Style"/>
          <w:b/>
          <w:sz w:val="28"/>
          <w:szCs w:val="28"/>
          <w:lang w:val="en-US"/>
        </w:rPr>
      </w:pPr>
    </w:p>
    <w:p w14:paraId="136E6522" w14:textId="77777777" w:rsidR="00436004" w:rsidRPr="004B5D91" w:rsidRDefault="004B5D91" w:rsidP="000D1B85">
      <w:pPr>
        <w:spacing w:line="360" w:lineRule="auto"/>
        <w:jc w:val="both"/>
        <w:rPr>
          <w:rFonts w:ascii="Bookman Old Style" w:hAnsi="Bookman Old Style"/>
          <w:b/>
          <w:sz w:val="28"/>
          <w:szCs w:val="28"/>
          <w:lang w:val="en-US"/>
        </w:rPr>
      </w:pPr>
      <w:r>
        <w:rPr>
          <w:rFonts w:ascii="Bookman Old Style" w:hAnsi="Bookman Old Style"/>
          <w:b/>
          <w:sz w:val="28"/>
          <w:szCs w:val="28"/>
          <w:lang w:val="en-US"/>
        </w:rPr>
        <w:t>MRS M VILAKAZI</w:t>
      </w:r>
      <w:r>
        <w:rPr>
          <w:rFonts w:ascii="Bookman Old Style" w:hAnsi="Bookman Old Style"/>
          <w:b/>
          <w:sz w:val="28"/>
          <w:szCs w:val="28"/>
          <w:lang w:val="en-US"/>
        </w:rPr>
        <w:tab/>
      </w:r>
      <w:r>
        <w:rPr>
          <w:rFonts w:ascii="Bookman Old Style" w:hAnsi="Bookman Old Style"/>
          <w:b/>
          <w:sz w:val="28"/>
          <w:szCs w:val="28"/>
          <w:lang w:val="en-US"/>
        </w:rPr>
        <w:tab/>
      </w:r>
      <w:r>
        <w:rPr>
          <w:rFonts w:ascii="Bookman Old Style" w:hAnsi="Bookman Old Style"/>
          <w:b/>
          <w:sz w:val="28"/>
          <w:szCs w:val="28"/>
          <w:lang w:val="en-US"/>
        </w:rPr>
        <w:tab/>
      </w:r>
      <w:r>
        <w:rPr>
          <w:rFonts w:ascii="Bookman Old Style" w:hAnsi="Bookman Old Style"/>
          <w:b/>
          <w:sz w:val="28"/>
          <w:szCs w:val="28"/>
          <w:lang w:val="en-US"/>
        </w:rPr>
        <w:tab/>
      </w:r>
      <w:r w:rsidR="00A93EBB">
        <w:rPr>
          <w:rFonts w:ascii="Bookman Old Style" w:hAnsi="Bookman Old Style"/>
          <w:b/>
          <w:sz w:val="28"/>
          <w:szCs w:val="28"/>
          <w:lang w:val="en-US"/>
        </w:rPr>
        <w:tab/>
      </w:r>
      <w:r w:rsidR="00A93EBB">
        <w:rPr>
          <w:rFonts w:ascii="Bookman Old Style" w:hAnsi="Bookman Old Style"/>
          <w:b/>
          <w:sz w:val="28"/>
          <w:szCs w:val="28"/>
          <w:lang w:val="en-US"/>
        </w:rPr>
        <w:tab/>
      </w:r>
      <w:r w:rsidR="00436004" w:rsidRPr="004B5D91">
        <w:rPr>
          <w:rFonts w:ascii="Bookman Old Style" w:hAnsi="Bookman Old Style"/>
          <w:b/>
          <w:sz w:val="28"/>
          <w:szCs w:val="28"/>
          <w:lang w:val="en-US"/>
        </w:rPr>
        <w:t>1</w:t>
      </w:r>
      <w:r w:rsidR="00436004" w:rsidRPr="004B5D91">
        <w:rPr>
          <w:rFonts w:ascii="Bookman Old Style" w:hAnsi="Bookman Old Style"/>
          <w:b/>
          <w:sz w:val="28"/>
          <w:szCs w:val="28"/>
          <w:vertAlign w:val="superscript"/>
          <w:lang w:val="en-US"/>
        </w:rPr>
        <w:t>ST</w:t>
      </w:r>
      <w:r w:rsidR="00436004" w:rsidRPr="004B5D91">
        <w:rPr>
          <w:rFonts w:ascii="Bookman Old Style" w:hAnsi="Bookman Old Style"/>
          <w:b/>
          <w:sz w:val="28"/>
          <w:szCs w:val="28"/>
          <w:lang w:val="en-US"/>
        </w:rPr>
        <w:t xml:space="preserve"> RESPONDENT</w:t>
      </w:r>
    </w:p>
    <w:p w14:paraId="0D2A8D9D" w14:textId="77777777" w:rsidR="004B5D91" w:rsidRDefault="00436004" w:rsidP="000D1B85">
      <w:pPr>
        <w:spacing w:line="360" w:lineRule="auto"/>
        <w:jc w:val="both"/>
        <w:rPr>
          <w:rFonts w:ascii="Bookman Old Style" w:hAnsi="Bookman Old Style"/>
          <w:b/>
          <w:sz w:val="28"/>
          <w:szCs w:val="28"/>
          <w:lang w:val="en-US"/>
        </w:rPr>
      </w:pPr>
      <w:r w:rsidRPr="004B5D91">
        <w:rPr>
          <w:rFonts w:ascii="Bookman Old Style" w:hAnsi="Bookman Old Style"/>
          <w:b/>
          <w:sz w:val="28"/>
          <w:szCs w:val="28"/>
          <w:lang w:val="en-US"/>
        </w:rPr>
        <w:t xml:space="preserve">DEPUTY MASTER </w:t>
      </w:r>
    </w:p>
    <w:p w14:paraId="348785B8" w14:textId="77777777" w:rsidR="00436004" w:rsidRPr="004B5D91" w:rsidRDefault="00436004" w:rsidP="000D1B85">
      <w:pPr>
        <w:spacing w:line="360" w:lineRule="auto"/>
        <w:jc w:val="both"/>
        <w:rPr>
          <w:rFonts w:ascii="Bookman Old Style" w:hAnsi="Bookman Old Style"/>
          <w:b/>
          <w:sz w:val="28"/>
          <w:szCs w:val="28"/>
          <w:lang w:val="en-US"/>
        </w:rPr>
      </w:pPr>
      <w:r w:rsidRPr="004B5D91">
        <w:rPr>
          <w:rFonts w:ascii="Bookman Old Style" w:hAnsi="Bookman Old Style"/>
          <w:b/>
          <w:sz w:val="28"/>
          <w:szCs w:val="28"/>
          <w:lang w:val="en-US"/>
        </w:rPr>
        <w:t>OF THE HIGH COURT</w:t>
      </w:r>
      <w:r w:rsidRPr="004B5D91">
        <w:rPr>
          <w:rFonts w:ascii="Bookman Old Style" w:hAnsi="Bookman Old Style"/>
          <w:b/>
          <w:sz w:val="28"/>
          <w:szCs w:val="28"/>
          <w:lang w:val="en-US"/>
        </w:rPr>
        <w:tab/>
      </w:r>
      <w:r w:rsidRPr="004B5D91">
        <w:rPr>
          <w:rFonts w:ascii="Bookman Old Style" w:hAnsi="Bookman Old Style"/>
          <w:b/>
          <w:sz w:val="28"/>
          <w:szCs w:val="28"/>
          <w:lang w:val="en-US"/>
        </w:rPr>
        <w:tab/>
      </w:r>
      <w:r w:rsidR="004B5D91">
        <w:rPr>
          <w:rFonts w:ascii="Bookman Old Style" w:hAnsi="Bookman Old Style"/>
          <w:b/>
          <w:sz w:val="28"/>
          <w:szCs w:val="28"/>
          <w:lang w:val="en-US"/>
        </w:rPr>
        <w:tab/>
      </w:r>
      <w:r w:rsidR="00A93EBB">
        <w:rPr>
          <w:rFonts w:ascii="Bookman Old Style" w:hAnsi="Bookman Old Style"/>
          <w:b/>
          <w:sz w:val="28"/>
          <w:szCs w:val="28"/>
          <w:lang w:val="en-US"/>
        </w:rPr>
        <w:tab/>
        <w:t xml:space="preserve">       </w:t>
      </w:r>
      <w:r w:rsidRPr="004B5D91">
        <w:rPr>
          <w:rFonts w:ascii="Bookman Old Style" w:hAnsi="Bookman Old Style"/>
          <w:b/>
          <w:sz w:val="28"/>
          <w:szCs w:val="28"/>
          <w:lang w:val="en-US"/>
        </w:rPr>
        <w:t>2</w:t>
      </w:r>
      <w:r w:rsidRPr="004B5D91">
        <w:rPr>
          <w:rFonts w:ascii="Bookman Old Style" w:hAnsi="Bookman Old Style"/>
          <w:b/>
          <w:sz w:val="28"/>
          <w:szCs w:val="28"/>
          <w:vertAlign w:val="superscript"/>
          <w:lang w:val="en-US"/>
        </w:rPr>
        <w:t>ND</w:t>
      </w:r>
      <w:r w:rsidRPr="004B5D91">
        <w:rPr>
          <w:rFonts w:ascii="Bookman Old Style" w:hAnsi="Bookman Old Style"/>
          <w:b/>
          <w:sz w:val="28"/>
          <w:szCs w:val="28"/>
          <w:lang w:val="en-US"/>
        </w:rPr>
        <w:t xml:space="preserve"> RESPONDENT</w:t>
      </w:r>
    </w:p>
    <w:p w14:paraId="4E21BAD6" w14:textId="77777777" w:rsidR="00436004" w:rsidRPr="004B5D91" w:rsidRDefault="004B5D91" w:rsidP="000D1B85">
      <w:pPr>
        <w:spacing w:line="360" w:lineRule="auto"/>
        <w:jc w:val="both"/>
        <w:rPr>
          <w:rFonts w:ascii="Bookman Old Style" w:hAnsi="Bookman Old Style"/>
          <w:b/>
          <w:sz w:val="28"/>
          <w:szCs w:val="28"/>
          <w:lang w:val="en-US"/>
        </w:rPr>
      </w:pPr>
      <w:r>
        <w:rPr>
          <w:rFonts w:ascii="Bookman Old Style" w:hAnsi="Bookman Old Style"/>
          <w:b/>
          <w:sz w:val="28"/>
          <w:szCs w:val="28"/>
          <w:lang w:val="en-US"/>
        </w:rPr>
        <w:t>MASTER OF THE HIGH COURT</w:t>
      </w:r>
      <w:r>
        <w:rPr>
          <w:rFonts w:ascii="Bookman Old Style" w:hAnsi="Bookman Old Style"/>
          <w:b/>
          <w:sz w:val="28"/>
          <w:szCs w:val="28"/>
          <w:lang w:val="en-US"/>
        </w:rPr>
        <w:tab/>
      </w:r>
      <w:r w:rsidR="00A93EBB">
        <w:rPr>
          <w:rFonts w:ascii="Bookman Old Style" w:hAnsi="Bookman Old Style"/>
          <w:b/>
          <w:sz w:val="28"/>
          <w:szCs w:val="28"/>
          <w:lang w:val="en-US"/>
        </w:rPr>
        <w:tab/>
        <w:t xml:space="preserve">       </w:t>
      </w:r>
      <w:r w:rsidR="00436004" w:rsidRPr="004B5D91">
        <w:rPr>
          <w:rFonts w:ascii="Bookman Old Style" w:hAnsi="Bookman Old Style"/>
          <w:b/>
          <w:sz w:val="28"/>
          <w:szCs w:val="28"/>
          <w:lang w:val="en-US"/>
        </w:rPr>
        <w:t>3</w:t>
      </w:r>
      <w:r w:rsidR="00436004" w:rsidRPr="004B5D91">
        <w:rPr>
          <w:rFonts w:ascii="Bookman Old Style" w:hAnsi="Bookman Old Style"/>
          <w:b/>
          <w:sz w:val="28"/>
          <w:szCs w:val="28"/>
          <w:vertAlign w:val="superscript"/>
          <w:lang w:val="en-US"/>
        </w:rPr>
        <w:t>RD</w:t>
      </w:r>
      <w:r w:rsidR="00436004" w:rsidRPr="004B5D91">
        <w:rPr>
          <w:rFonts w:ascii="Bookman Old Style" w:hAnsi="Bookman Old Style"/>
          <w:b/>
          <w:sz w:val="28"/>
          <w:szCs w:val="28"/>
          <w:lang w:val="en-US"/>
        </w:rPr>
        <w:t xml:space="preserve"> RESPONDENT</w:t>
      </w:r>
    </w:p>
    <w:p w14:paraId="7F097928" w14:textId="77777777" w:rsidR="00436004" w:rsidRPr="004B5D91" w:rsidRDefault="004B5D91" w:rsidP="000D1B85">
      <w:pPr>
        <w:spacing w:line="360" w:lineRule="auto"/>
        <w:jc w:val="both"/>
        <w:rPr>
          <w:rFonts w:ascii="Bookman Old Style" w:hAnsi="Bookman Old Style"/>
          <w:b/>
          <w:sz w:val="28"/>
          <w:szCs w:val="28"/>
          <w:lang w:val="en-US"/>
        </w:rPr>
      </w:pPr>
      <w:r>
        <w:rPr>
          <w:rFonts w:ascii="Bookman Old Style" w:hAnsi="Bookman Old Style"/>
          <w:b/>
          <w:sz w:val="28"/>
          <w:szCs w:val="28"/>
          <w:lang w:val="en-US"/>
        </w:rPr>
        <w:t>THE ATTORNEY-GENERAL</w:t>
      </w:r>
      <w:r>
        <w:rPr>
          <w:rFonts w:ascii="Bookman Old Style" w:hAnsi="Bookman Old Style"/>
          <w:b/>
          <w:sz w:val="28"/>
          <w:szCs w:val="28"/>
          <w:lang w:val="en-US"/>
        </w:rPr>
        <w:tab/>
      </w:r>
      <w:r>
        <w:rPr>
          <w:rFonts w:ascii="Bookman Old Style" w:hAnsi="Bookman Old Style"/>
          <w:b/>
          <w:sz w:val="28"/>
          <w:szCs w:val="28"/>
          <w:lang w:val="en-US"/>
        </w:rPr>
        <w:tab/>
      </w:r>
      <w:r w:rsidR="00A93EBB">
        <w:rPr>
          <w:rFonts w:ascii="Bookman Old Style" w:hAnsi="Bookman Old Style"/>
          <w:b/>
          <w:sz w:val="28"/>
          <w:szCs w:val="28"/>
          <w:lang w:val="en-US"/>
        </w:rPr>
        <w:tab/>
        <w:t xml:space="preserve">       </w:t>
      </w:r>
      <w:r w:rsidR="00436004" w:rsidRPr="004B5D91">
        <w:rPr>
          <w:rFonts w:ascii="Bookman Old Style" w:hAnsi="Bookman Old Style"/>
          <w:b/>
          <w:sz w:val="28"/>
          <w:szCs w:val="28"/>
          <w:lang w:val="en-US"/>
        </w:rPr>
        <w:t>4</w:t>
      </w:r>
      <w:r w:rsidR="00436004" w:rsidRPr="004B5D91">
        <w:rPr>
          <w:rFonts w:ascii="Bookman Old Style" w:hAnsi="Bookman Old Style"/>
          <w:b/>
          <w:sz w:val="28"/>
          <w:szCs w:val="28"/>
          <w:vertAlign w:val="superscript"/>
          <w:lang w:val="en-US"/>
        </w:rPr>
        <w:t>TH</w:t>
      </w:r>
      <w:r w:rsidR="00436004" w:rsidRPr="004B5D91">
        <w:rPr>
          <w:rFonts w:ascii="Bookman Old Style" w:hAnsi="Bookman Old Style"/>
          <w:b/>
          <w:sz w:val="28"/>
          <w:szCs w:val="28"/>
          <w:lang w:val="en-US"/>
        </w:rPr>
        <w:t xml:space="preserve"> RESPONDENT</w:t>
      </w:r>
    </w:p>
    <w:p w14:paraId="2979F66F" w14:textId="77777777" w:rsidR="004B5D91" w:rsidRDefault="00436004" w:rsidP="000D1B85">
      <w:pPr>
        <w:spacing w:line="360" w:lineRule="auto"/>
        <w:jc w:val="both"/>
        <w:rPr>
          <w:rFonts w:ascii="Bookman Old Style" w:hAnsi="Bookman Old Style"/>
          <w:b/>
          <w:sz w:val="28"/>
          <w:szCs w:val="28"/>
          <w:lang w:val="en-US"/>
        </w:rPr>
      </w:pPr>
      <w:r w:rsidRPr="004B5D91">
        <w:rPr>
          <w:rFonts w:ascii="Bookman Old Style" w:hAnsi="Bookman Old Style"/>
          <w:b/>
          <w:sz w:val="28"/>
          <w:szCs w:val="28"/>
          <w:lang w:val="en-US"/>
        </w:rPr>
        <w:t xml:space="preserve">FIRST NATIONAL BANK </w:t>
      </w:r>
    </w:p>
    <w:p w14:paraId="46EFC063" w14:textId="77777777" w:rsidR="00436004" w:rsidRPr="004B5D91" w:rsidRDefault="00436004" w:rsidP="000D1B85">
      <w:pPr>
        <w:spacing w:line="360" w:lineRule="auto"/>
        <w:jc w:val="both"/>
        <w:rPr>
          <w:rFonts w:ascii="Bookman Old Style" w:hAnsi="Bookman Old Style"/>
          <w:b/>
          <w:sz w:val="28"/>
          <w:szCs w:val="28"/>
          <w:lang w:val="en-US"/>
        </w:rPr>
      </w:pPr>
      <w:r w:rsidRPr="004B5D91">
        <w:rPr>
          <w:rFonts w:ascii="Bookman Old Style" w:hAnsi="Bookman Old Style"/>
          <w:b/>
          <w:sz w:val="28"/>
          <w:szCs w:val="28"/>
          <w:lang w:val="en-US"/>
        </w:rPr>
        <w:t>LESOTHO LIMITED</w:t>
      </w:r>
      <w:r w:rsidRPr="004B5D91">
        <w:rPr>
          <w:rFonts w:ascii="Bookman Old Style" w:hAnsi="Bookman Old Style"/>
          <w:b/>
          <w:sz w:val="28"/>
          <w:szCs w:val="28"/>
          <w:lang w:val="en-US"/>
        </w:rPr>
        <w:tab/>
      </w:r>
      <w:r w:rsidRPr="004B5D91">
        <w:rPr>
          <w:rFonts w:ascii="Bookman Old Style" w:hAnsi="Bookman Old Style"/>
          <w:b/>
          <w:sz w:val="28"/>
          <w:szCs w:val="28"/>
          <w:lang w:val="en-US"/>
        </w:rPr>
        <w:tab/>
      </w:r>
      <w:r w:rsidR="004B5D91">
        <w:rPr>
          <w:rFonts w:ascii="Bookman Old Style" w:hAnsi="Bookman Old Style"/>
          <w:b/>
          <w:sz w:val="28"/>
          <w:szCs w:val="28"/>
          <w:lang w:val="en-US"/>
        </w:rPr>
        <w:tab/>
      </w:r>
      <w:r w:rsidR="004B5D91">
        <w:rPr>
          <w:rFonts w:ascii="Bookman Old Style" w:hAnsi="Bookman Old Style"/>
          <w:b/>
          <w:sz w:val="28"/>
          <w:szCs w:val="28"/>
          <w:lang w:val="en-US"/>
        </w:rPr>
        <w:tab/>
      </w:r>
      <w:r w:rsidR="00A93EBB">
        <w:rPr>
          <w:rFonts w:ascii="Bookman Old Style" w:hAnsi="Bookman Old Style"/>
          <w:b/>
          <w:sz w:val="28"/>
          <w:szCs w:val="28"/>
          <w:lang w:val="en-US"/>
        </w:rPr>
        <w:tab/>
        <w:t xml:space="preserve">       </w:t>
      </w:r>
      <w:r w:rsidRPr="004B5D91">
        <w:rPr>
          <w:rFonts w:ascii="Bookman Old Style" w:hAnsi="Bookman Old Style"/>
          <w:b/>
          <w:sz w:val="28"/>
          <w:szCs w:val="28"/>
          <w:lang w:val="en-US"/>
        </w:rPr>
        <w:t>5</w:t>
      </w:r>
      <w:r w:rsidRPr="004B5D91">
        <w:rPr>
          <w:rFonts w:ascii="Bookman Old Style" w:hAnsi="Bookman Old Style"/>
          <w:b/>
          <w:sz w:val="28"/>
          <w:szCs w:val="28"/>
          <w:vertAlign w:val="superscript"/>
          <w:lang w:val="en-US"/>
        </w:rPr>
        <w:t>TH</w:t>
      </w:r>
      <w:r w:rsidRPr="004B5D91">
        <w:rPr>
          <w:rFonts w:ascii="Bookman Old Style" w:hAnsi="Bookman Old Style"/>
          <w:b/>
          <w:sz w:val="28"/>
          <w:szCs w:val="28"/>
          <w:lang w:val="en-US"/>
        </w:rPr>
        <w:t xml:space="preserve"> RESPONDENT</w:t>
      </w:r>
    </w:p>
    <w:p w14:paraId="76B47B6A" w14:textId="77777777" w:rsidR="004B5D91" w:rsidRDefault="00436004" w:rsidP="000D1B85">
      <w:pPr>
        <w:spacing w:line="360" w:lineRule="auto"/>
        <w:jc w:val="both"/>
        <w:rPr>
          <w:rFonts w:ascii="Bookman Old Style" w:hAnsi="Bookman Old Style"/>
          <w:b/>
          <w:sz w:val="28"/>
          <w:szCs w:val="28"/>
          <w:lang w:val="en-US"/>
        </w:rPr>
      </w:pPr>
      <w:r w:rsidRPr="004B5D91">
        <w:rPr>
          <w:rFonts w:ascii="Bookman Old Style" w:hAnsi="Bookman Old Style"/>
          <w:b/>
          <w:sz w:val="28"/>
          <w:szCs w:val="28"/>
          <w:lang w:val="en-US"/>
        </w:rPr>
        <w:t xml:space="preserve">STANDARD LESOTHO </w:t>
      </w:r>
    </w:p>
    <w:p w14:paraId="04EF8F77" w14:textId="77777777" w:rsidR="00436004" w:rsidRPr="008C482A" w:rsidRDefault="00436004" w:rsidP="000D1B85">
      <w:pPr>
        <w:spacing w:line="360" w:lineRule="auto"/>
        <w:jc w:val="both"/>
        <w:rPr>
          <w:rFonts w:ascii="Bookman Old Style" w:hAnsi="Bookman Old Style"/>
          <w:b/>
          <w:sz w:val="28"/>
          <w:szCs w:val="28"/>
          <w:lang w:val="en-US"/>
        </w:rPr>
      </w:pPr>
      <w:r w:rsidRPr="004B5D91">
        <w:rPr>
          <w:rFonts w:ascii="Bookman Old Style" w:hAnsi="Bookman Old Style"/>
          <w:b/>
          <w:sz w:val="28"/>
          <w:szCs w:val="28"/>
          <w:lang w:val="en-US"/>
        </w:rPr>
        <w:t>BANK LIMITED</w:t>
      </w:r>
      <w:r w:rsidR="00A93EBB">
        <w:rPr>
          <w:rFonts w:ascii="Bookman Old Style" w:hAnsi="Bookman Old Style"/>
          <w:b/>
          <w:sz w:val="28"/>
          <w:szCs w:val="28"/>
          <w:lang w:val="en-US"/>
        </w:rPr>
        <w:tab/>
      </w:r>
      <w:r w:rsidR="00A93EBB">
        <w:rPr>
          <w:rFonts w:ascii="Bookman Old Style" w:hAnsi="Bookman Old Style"/>
          <w:b/>
          <w:sz w:val="28"/>
          <w:szCs w:val="28"/>
          <w:lang w:val="en-US"/>
        </w:rPr>
        <w:tab/>
      </w:r>
      <w:r w:rsidR="00A93EBB">
        <w:rPr>
          <w:rFonts w:ascii="Bookman Old Style" w:hAnsi="Bookman Old Style"/>
          <w:b/>
          <w:sz w:val="28"/>
          <w:szCs w:val="28"/>
          <w:lang w:val="en-US"/>
        </w:rPr>
        <w:tab/>
      </w:r>
      <w:r w:rsidR="00A93EBB">
        <w:rPr>
          <w:rFonts w:ascii="Bookman Old Style" w:hAnsi="Bookman Old Style"/>
          <w:b/>
          <w:sz w:val="28"/>
          <w:szCs w:val="28"/>
          <w:lang w:val="en-US"/>
        </w:rPr>
        <w:tab/>
      </w:r>
      <w:r w:rsidR="00A93EBB">
        <w:rPr>
          <w:rFonts w:ascii="Bookman Old Style" w:hAnsi="Bookman Old Style"/>
          <w:b/>
          <w:sz w:val="28"/>
          <w:szCs w:val="28"/>
          <w:lang w:val="en-US"/>
        </w:rPr>
        <w:tab/>
        <w:t xml:space="preserve">       </w:t>
      </w:r>
      <w:r w:rsidRPr="004B5D91">
        <w:rPr>
          <w:rFonts w:ascii="Bookman Old Style" w:hAnsi="Bookman Old Style"/>
          <w:b/>
          <w:sz w:val="28"/>
          <w:szCs w:val="28"/>
          <w:lang w:val="en-US"/>
        </w:rPr>
        <w:t>6</w:t>
      </w:r>
      <w:r w:rsidRPr="004B5D91">
        <w:rPr>
          <w:rFonts w:ascii="Bookman Old Style" w:hAnsi="Bookman Old Style"/>
          <w:b/>
          <w:sz w:val="28"/>
          <w:szCs w:val="28"/>
          <w:vertAlign w:val="superscript"/>
          <w:lang w:val="en-US"/>
        </w:rPr>
        <w:t>TH</w:t>
      </w:r>
      <w:r w:rsidRPr="004B5D91">
        <w:rPr>
          <w:rFonts w:ascii="Bookman Old Style" w:hAnsi="Bookman Old Style"/>
          <w:b/>
          <w:sz w:val="28"/>
          <w:szCs w:val="28"/>
          <w:lang w:val="en-US"/>
        </w:rPr>
        <w:t xml:space="preserve"> RESPONDENT</w:t>
      </w:r>
    </w:p>
    <w:p w14:paraId="755F88BE" w14:textId="77777777" w:rsidR="00436004" w:rsidRPr="004B5D91" w:rsidRDefault="00436004" w:rsidP="000D1B85">
      <w:pPr>
        <w:spacing w:line="360" w:lineRule="auto"/>
        <w:jc w:val="both"/>
        <w:rPr>
          <w:rFonts w:ascii="Bookman Old Style" w:hAnsi="Bookman Old Style"/>
          <w:sz w:val="28"/>
          <w:szCs w:val="28"/>
          <w:lang w:val="en-US"/>
        </w:rPr>
      </w:pPr>
    </w:p>
    <w:p w14:paraId="6D0DC9EC" w14:textId="5C7FD486" w:rsidR="008C482A" w:rsidRPr="001B6FDB" w:rsidRDefault="008C482A" w:rsidP="000D1B85">
      <w:pPr>
        <w:spacing w:line="360" w:lineRule="auto"/>
        <w:jc w:val="both"/>
        <w:rPr>
          <w:rFonts w:ascii="Bookman Old Style" w:hAnsi="Bookman Old Style"/>
          <w:bCs/>
          <w:caps/>
          <w:sz w:val="28"/>
          <w:szCs w:val="28"/>
          <w:lang w:val="en-US"/>
        </w:rPr>
      </w:pPr>
      <w:r>
        <w:rPr>
          <w:rFonts w:ascii="Bookman Old Style" w:hAnsi="Bookman Old Style"/>
          <w:b/>
          <w:sz w:val="28"/>
          <w:szCs w:val="28"/>
          <w:lang w:val="en-US"/>
        </w:rPr>
        <w:t xml:space="preserve">Coram: </w:t>
      </w:r>
      <w:r w:rsidR="001B6FDB">
        <w:rPr>
          <w:rFonts w:ascii="Bookman Old Style" w:hAnsi="Bookman Old Style"/>
          <w:b/>
          <w:sz w:val="28"/>
          <w:szCs w:val="28"/>
          <w:lang w:val="en-US"/>
        </w:rPr>
        <w:tab/>
      </w:r>
      <w:r w:rsidRPr="001B6FDB">
        <w:rPr>
          <w:rFonts w:ascii="Bookman Old Style" w:hAnsi="Bookman Old Style"/>
          <w:bCs/>
          <w:caps/>
          <w:sz w:val="28"/>
          <w:szCs w:val="28"/>
          <w:lang w:val="en-US"/>
        </w:rPr>
        <w:t>PT Damaseb, AJA</w:t>
      </w:r>
    </w:p>
    <w:p w14:paraId="450847F6" w14:textId="2F090780" w:rsidR="008C482A" w:rsidRPr="001B6FDB" w:rsidRDefault="008C482A" w:rsidP="000D1B85">
      <w:pPr>
        <w:spacing w:line="360" w:lineRule="auto"/>
        <w:ind w:left="720"/>
        <w:jc w:val="both"/>
        <w:rPr>
          <w:rFonts w:ascii="Bookman Old Style" w:hAnsi="Bookman Old Style"/>
          <w:bCs/>
          <w:caps/>
          <w:sz w:val="28"/>
          <w:szCs w:val="28"/>
          <w:lang w:val="en-US"/>
        </w:rPr>
      </w:pPr>
      <w:r w:rsidRPr="001B6FDB">
        <w:rPr>
          <w:rFonts w:ascii="Bookman Old Style" w:hAnsi="Bookman Old Style"/>
          <w:bCs/>
          <w:caps/>
          <w:sz w:val="28"/>
          <w:szCs w:val="28"/>
          <w:lang w:val="en-US"/>
        </w:rPr>
        <w:t xml:space="preserve">    </w:t>
      </w:r>
      <w:r w:rsidR="001B6FDB" w:rsidRPr="001B6FDB">
        <w:rPr>
          <w:rFonts w:ascii="Bookman Old Style" w:hAnsi="Bookman Old Style"/>
          <w:bCs/>
          <w:caps/>
          <w:sz w:val="28"/>
          <w:szCs w:val="28"/>
          <w:lang w:val="en-US"/>
        </w:rPr>
        <w:tab/>
      </w:r>
      <w:r w:rsidRPr="001B6FDB">
        <w:rPr>
          <w:rFonts w:ascii="Bookman Old Style" w:hAnsi="Bookman Old Style"/>
          <w:bCs/>
          <w:caps/>
          <w:sz w:val="28"/>
          <w:szCs w:val="28"/>
          <w:lang w:val="en-US"/>
        </w:rPr>
        <w:t xml:space="preserve">Chinhengo, AJA </w:t>
      </w:r>
    </w:p>
    <w:p w14:paraId="69BD917D" w14:textId="087185C8" w:rsidR="008C482A" w:rsidRDefault="008C482A" w:rsidP="000D1B85">
      <w:pPr>
        <w:spacing w:line="360" w:lineRule="auto"/>
        <w:ind w:left="720"/>
        <w:jc w:val="both"/>
        <w:rPr>
          <w:rFonts w:ascii="Bookman Old Style" w:hAnsi="Bookman Old Style"/>
          <w:bCs/>
          <w:sz w:val="28"/>
          <w:szCs w:val="28"/>
          <w:lang w:val="en-US"/>
        </w:rPr>
      </w:pPr>
      <w:r w:rsidRPr="001B6FDB">
        <w:rPr>
          <w:rFonts w:ascii="Bookman Old Style" w:hAnsi="Bookman Old Style"/>
          <w:bCs/>
          <w:caps/>
          <w:sz w:val="28"/>
          <w:szCs w:val="28"/>
          <w:lang w:val="en-US"/>
        </w:rPr>
        <w:t xml:space="preserve">    </w:t>
      </w:r>
      <w:r w:rsidR="001B6FDB" w:rsidRPr="001B6FDB">
        <w:rPr>
          <w:rFonts w:ascii="Bookman Old Style" w:hAnsi="Bookman Old Style"/>
          <w:bCs/>
          <w:caps/>
          <w:sz w:val="28"/>
          <w:szCs w:val="28"/>
          <w:lang w:val="en-US"/>
        </w:rPr>
        <w:tab/>
      </w:r>
      <w:r w:rsidRPr="001B6FDB">
        <w:rPr>
          <w:rFonts w:ascii="Bookman Old Style" w:hAnsi="Bookman Old Style"/>
          <w:bCs/>
          <w:caps/>
          <w:sz w:val="28"/>
          <w:szCs w:val="28"/>
          <w:lang w:val="en-US"/>
        </w:rPr>
        <w:t>Mtshiya AJA</w:t>
      </w:r>
      <w:r>
        <w:rPr>
          <w:rFonts w:ascii="Bookman Old Style" w:hAnsi="Bookman Old Style"/>
          <w:b/>
          <w:sz w:val="28"/>
          <w:szCs w:val="28"/>
          <w:lang w:val="en-US"/>
        </w:rPr>
        <w:tab/>
      </w:r>
    </w:p>
    <w:p w14:paraId="2883628C" w14:textId="77777777" w:rsidR="008C482A" w:rsidRDefault="008C482A" w:rsidP="000D1B85">
      <w:pPr>
        <w:spacing w:line="360" w:lineRule="auto"/>
        <w:jc w:val="both"/>
        <w:rPr>
          <w:rFonts w:ascii="Bookman Old Style" w:hAnsi="Bookman Old Style"/>
          <w:bCs/>
          <w:sz w:val="28"/>
          <w:szCs w:val="28"/>
          <w:lang w:val="en-US"/>
        </w:rPr>
      </w:pPr>
    </w:p>
    <w:p w14:paraId="53684B2E" w14:textId="77777777" w:rsidR="008C482A" w:rsidRPr="008C482A" w:rsidRDefault="008C482A" w:rsidP="000D1B85">
      <w:pPr>
        <w:spacing w:line="360" w:lineRule="auto"/>
        <w:jc w:val="both"/>
        <w:rPr>
          <w:rFonts w:ascii="Bookman Old Style" w:hAnsi="Bookman Old Style"/>
          <w:bCs/>
          <w:sz w:val="28"/>
          <w:szCs w:val="28"/>
          <w:lang w:val="en-US"/>
        </w:rPr>
      </w:pPr>
      <w:r w:rsidRPr="008C482A">
        <w:rPr>
          <w:rFonts w:ascii="Bookman Old Style" w:hAnsi="Bookman Old Style"/>
          <w:b/>
          <w:sz w:val="28"/>
          <w:szCs w:val="28"/>
          <w:lang w:val="en-US"/>
        </w:rPr>
        <w:lastRenderedPageBreak/>
        <w:t>Enrolled:</w:t>
      </w:r>
      <w:r>
        <w:rPr>
          <w:rFonts w:ascii="Bookman Old Style" w:hAnsi="Bookman Old Style"/>
          <w:bCs/>
          <w:sz w:val="28"/>
          <w:szCs w:val="28"/>
          <w:lang w:val="en-US"/>
        </w:rPr>
        <w:t xml:space="preserve"> </w:t>
      </w:r>
      <w:r w:rsidRPr="001E1FC8">
        <w:rPr>
          <w:rFonts w:ascii="Bookman Old Style" w:hAnsi="Bookman Old Style"/>
          <w:b/>
          <w:bCs/>
          <w:sz w:val="28"/>
          <w:szCs w:val="28"/>
          <w:lang w:val="en-US"/>
        </w:rPr>
        <w:t>13 May 2020</w:t>
      </w:r>
      <w:r>
        <w:rPr>
          <w:rFonts w:ascii="Bookman Old Style" w:hAnsi="Bookman Old Style"/>
          <w:bCs/>
          <w:sz w:val="28"/>
          <w:szCs w:val="28"/>
          <w:lang w:val="en-US"/>
        </w:rPr>
        <w:t xml:space="preserve"> </w:t>
      </w:r>
      <w:r w:rsidRPr="001E1FC8">
        <w:rPr>
          <w:rFonts w:ascii="Bookman Old Style" w:hAnsi="Bookman Old Style"/>
          <w:b/>
          <w:bCs/>
          <w:sz w:val="28"/>
          <w:szCs w:val="28"/>
          <w:lang w:val="en-US"/>
        </w:rPr>
        <w:t>(For determination by way of written submissions in terms of CA President’s COVID-19 PD 2020).</w:t>
      </w:r>
      <w:r>
        <w:rPr>
          <w:rFonts w:ascii="Bookman Old Style" w:hAnsi="Bookman Old Style"/>
          <w:b/>
          <w:sz w:val="28"/>
          <w:szCs w:val="28"/>
          <w:lang w:val="en-US"/>
        </w:rPr>
        <w:tab/>
      </w:r>
    </w:p>
    <w:p w14:paraId="631917FF" w14:textId="77777777" w:rsidR="008C482A" w:rsidRPr="001E1FC8" w:rsidRDefault="008C482A" w:rsidP="000D1B85">
      <w:pPr>
        <w:spacing w:line="360" w:lineRule="auto"/>
        <w:jc w:val="both"/>
        <w:rPr>
          <w:rFonts w:ascii="Bookman Old Style" w:hAnsi="Bookman Old Style"/>
          <w:b/>
          <w:bCs/>
          <w:sz w:val="28"/>
          <w:szCs w:val="28"/>
          <w:lang w:val="en-US"/>
        </w:rPr>
      </w:pPr>
      <w:r>
        <w:rPr>
          <w:rFonts w:ascii="Bookman Old Style" w:hAnsi="Bookman Old Style"/>
          <w:b/>
          <w:sz w:val="28"/>
          <w:szCs w:val="28"/>
          <w:lang w:val="en-US"/>
        </w:rPr>
        <w:t xml:space="preserve">Delivered: </w:t>
      </w:r>
      <w:r w:rsidRPr="001E1FC8">
        <w:rPr>
          <w:rFonts w:ascii="Bookman Old Style" w:hAnsi="Bookman Old Style"/>
          <w:b/>
          <w:bCs/>
          <w:sz w:val="28"/>
          <w:szCs w:val="28"/>
          <w:lang w:val="en-US"/>
        </w:rPr>
        <w:t>29 May 2020</w:t>
      </w:r>
    </w:p>
    <w:p w14:paraId="54BA8E3E" w14:textId="77777777" w:rsidR="008C482A" w:rsidRDefault="008C482A" w:rsidP="000D1B85">
      <w:pPr>
        <w:spacing w:line="360" w:lineRule="auto"/>
        <w:jc w:val="both"/>
        <w:rPr>
          <w:rFonts w:ascii="Bookman Old Style" w:hAnsi="Bookman Old Style"/>
          <w:b/>
          <w:sz w:val="28"/>
          <w:szCs w:val="28"/>
          <w:lang w:val="en-US"/>
        </w:rPr>
      </w:pPr>
    </w:p>
    <w:p w14:paraId="13EFBCFD" w14:textId="77777777" w:rsidR="008C482A" w:rsidRDefault="008C482A" w:rsidP="001B6FDB">
      <w:pPr>
        <w:spacing w:line="360" w:lineRule="auto"/>
        <w:jc w:val="center"/>
        <w:rPr>
          <w:rFonts w:ascii="Bookman Old Style" w:hAnsi="Bookman Old Style"/>
          <w:b/>
          <w:bCs/>
          <w:sz w:val="28"/>
          <w:szCs w:val="28"/>
          <w:lang w:val="en-US"/>
        </w:rPr>
      </w:pPr>
      <w:r w:rsidRPr="005E608F">
        <w:rPr>
          <w:rFonts w:ascii="Bookman Old Style" w:hAnsi="Bookman Old Style"/>
          <w:b/>
          <w:bCs/>
          <w:sz w:val="28"/>
          <w:szCs w:val="28"/>
          <w:lang w:val="en-US"/>
        </w:rPr>
        <w:t>Summary</w:t>
      </w:r>
    </w:p>
    <w:p w14:paraId="0625F9B0" w14:textId="77777777" w:rsidR="001B6FDB" w:rsidRPr="005E608F" w:rsidRDefault="001B6FDB" w:rsidP="001B6FDB">
      <w:pPr>
        <w:spacing w:line="360" w:lineRule="auto"/>
        <w:jc w:val="center"/>
        <w:rPr>
          <w:rFonts w:ascii="Bookman Old Style" w:hAnsi="Bookman Old Style"/>
          <w:b/>
          <w:bCs/>
          <w:sz w:val="28"/>
          <w:szCs w:val="28"/>
          <w:lang w:val="en-US"/>
        </w:rPr>
      </w:pPr>
    </w:p>
    <w:p w14:paraId="6F31EEEE" w14:textId="1C8FB048" w:rsidR="005811F0" w:rsidRPr="001B6FDB" w:rsidRDefault="005E608F" w:rsidP="000D1B85">
      <w:pPr>
        <w:spacing w:line="360" w:lineRule="auto"/>
        <w:jc w:val="both"/>
        <w:rPr>
          <w:rFonts w:ascii="Bookman Old Style" w:hAnsi="Bookman Old Style"/>
          <w:i/>
          <w:sz w:val="28"/>
          <w:szCs w:val="28"/>
          <w:lang w:val="en-US"/>
        </w:rPr>
      </w:pPr>
      <w:r w:rsidRPr="001B6FDB">
        <w:rPr>
          <w:rFonts w:ascii="Bookman Old Style" w:hAnsi="Bookman Old Style"/>
          <w:i/>
          <w:sz w:val="28"/>
          <w:szCs w:val="28"/>
          <w:lang w:val="en-US"/>
        </w:rPr>
        <w:t xml:space="preserve">Companies Act 2011 and Insolvency Proclamation 1957 </w:t>
      </w:r>
      <w:r w:rsidR="001E1FC8" w:rsidRPr="001B6FDB">
        <w:rPr>
          <w:rFonts w:ascii="Bookman Old Style" w:hAnsi="Bookman Old Style"/>
          <w:i/>
          <w:sz w:val="28"/>
          <w:szCs w:val="28"/>
          <w:lang w:val="en-US"/>
        </w:rPr>
        <w:t xml:space="preserve">- </w:t>
      </w:r>
      <w:r w:rsidRPr="001B6FDB">
        <w:rPr>
          <w:rFonts w:ascii="Bookman Old Style" w:hAnsi="Bookman Old Style"/>
          <w:i/>
          <w:sz w:val="28"/>
          <w:szCs w:val="28"/>
          <w:lang w:val="en-US"/>
        </w:rPr>
        <w:t xml:space="preserve">do they provide for provisional liquidators? </w:t>
      </w:r>
      <w:r w:rsidR="008C1BB2" w:rsidRPr="001B6FDB">
        <w:rPr>
          <w:rFonts w:ascii="Bookman Old Style" w:hAnsi="Bookman Old Style"/>
          <w:i/>
          <w:sz w:val="28"/>
          <w:szCs w:val="28"/>
          <w:lang w:val="en-US"/>
        </w:rPr>
        <w:t xml:space="preserve">- </w:t>
      </w:r>
      <w:r w:rsidRPr="001B6FDB">
        <w:rPr>
          <w:rFonts w:ascii="Bookman Old Style" w:hAnsi="Bookman Old Style"/>
          <w:i/>
          <w:sz w:val="28"/>
          <w:szCs w:val="28"/>
          <w:lang w:val="en-US"/>
        </w:rPr>
        <w:t>Is there provision for first meeting of creditors to proof claims and elect liquidators</w:t>
      </w:r>
      <w:r w:rsidR="001E1FC8" w:rsidRPr="001B6FDB">
        <w:rPr>
          <w:rFonts w:ascii="Bookman Old Style" w:hAnsi="Bookman Old Style"/>
          <w:i/>
          <w:sz w:val="28"/>
          <w:szCs w:val="28"/>
          <w:lang w:val="en-US"/>
        </w:rPr>
        <w:t>?</w:t>
      </w:r>
    </w:p>
    <w:p w14:paraId="69A80310" w14:textId="77777777" w:rsidR="005811F0" w:rsidRDefault="005811F0" w:rsidP="000D1B85">
      <w:pPr>
        <w:spacing w:line="360" w:lineRule="auto"/>
        <w:jc w:val="both"/>
        <w:rPr>
          <w:rFonts w:ascii="Bookman Old Style" w:hAnsi="Bookman Old Style"/>
          <w:b/>
          <w:sz w:val="28"/>
          <w:szCs w:val="28"/>
          <w:lang w:val="en-US"/>
        </w:rPr>
      </w:pPr>
    </w:p>
    <w:p w14:paraId="6D8A7E83" w14:textId="77777777" w:rsidR="008C482A" w:rsidRDefault="008C482A" w:rsidP="005811F0">
      <w:pPr>
        <w:spacing w:line="360" w:lineRule="auto"/>
        <w:ind w:left="2160" w:firstLine="720"/>
        <w:jc w:val="both"/>
        <w:rPr>
          <w:rFonts w:ascii="Bookman Old Style" w:hAnsi="Bookman Old Style"/>
          <w:b/>
          <w:sz w:val="28"/>
          <w:szCs w:val="28"/>
          <w:lang w:val="en-US"/>
        </w:rPr>
      </w:pPr>
      <w:r>
        <w:rPr>
          <w:rFonts w:ascii="Bookman Old Style" w:hAnsi="Bookman Old Style"/>
          <w:b/>
          <w:sz w:val="28"/>
          <w:szCs w:val="28"/>
          <w:lang w:val="en-US"/>
        </w:rPr>
        <w:t>JUDGEMENT</w:t>
      </w:r>
    </w:p>
    <w:p w14:paraId="75245189" w14:textId="77777777" w:rsidR="008C482A" w:rsidRDefault="008C482A" w:rsidP="000D1B85">
      <w:pPr>
        <w:spacing w:line="360" w:lineRule="auto"/>
        <w:jc w:val="both"/>
        <w:rPr>
          <w:rFonts w:ascii="Bookman Old Style" w:hAnsi="Bookman Old Style"/>
          <w:b/>
          <w:sz w:val="28"/>
          <w:szCs w:val="28"/>
          <w:lang w:val="en-US"/>
        </w:rPr>
      </w:pPr>
    </w:p>
    <w:p w14:paraId="0D58EEFB" w14:textId="77777777" w:rsidR="00436004" w:rsidRPr="004B5D91" w:rsidRDefault="00436004" w:rsidP="000D1B85">
      <w:pPr>
        <w:spacing w:line="360" w:lineRule="auto"/>
        <w:jc w:val="both"/>
        <w:rPr>
          <w:rFonts w:ascii="Bookman Old Style" w:hAnsi="Bookman Old Style"/>
          <w:b/>
          <w:sz w:val="28"/>
          <w:szCs w:val="28"/>
          <w:lang w:val="en-US"/>
        </w:rPr>
      </w:pPr>
      <w:r w:rsidRPr="004B5D91">
        <w:rPr>
          <w:rFonts w:ascii="Bookman Old Style" w:hAnsi="Bookman Old Style"/>
          <w:b/>
          <w:sz w:val="28"/>
          <w:szCs w:val="28"/>
          <w:lang w:val="en-US"/>
        </w:rPr>
        <w:t xml:space="preserve">PT </w:t>
      </w:r>
      <w:proofErr w:type="spellStart"/>
      <w:r w:rsidRPr="004B5D91">
        <w:rPr>
          <w:rFonts w:ascii="Bookman Old Style" w:hAnsi="Bookman Old Style"/>
          <w:b/>
          <w:sz w:val="28"/>
          <w:szCs w:val="28"/>
          <w:lang w:val="en-US"/>
        </w:rPr>
        <w:t>Damaseb</w:t>
      </w:r>
      <w:proofErr w:type="spellEnd"/>
      <w:r w:rsidRPr="004B5D91">
        <w:rPr>
          <w:rFonts w:ascii="Bookman Old Style" w:hAnsi="Bookman Old Style"/>
          <w:b/>
          <w:sz w:val="28"/>
          <w:szCs w:val="28"/>
          <w:lang w:val="en-US"/>
        </w:rPr>
        <w:t xml:space="preserve"> AJA:</w:t>
      </w:r>
    </w:p>
    <w:p w14:paraId="27D4D08D" w14:textId="77777777" w:rsidR="006305E7" w:rsidRDefault="009527C6" w:rsidP="000D1B85">
      <w:pPr>
        <w:numPr>
          <w:ilvl w:val="0"/>
          <w:numId w:val="14"/>
        </w:numPr>
        <w:tabs>
          <w:tab w:val="left" w:pos="851"/>
        </w:tabs>
        <w:spacing w:line="360" w:lineRule="auto"/>
        <w:ind w:left="0" w:hanging="11"/>
        <w:contextualSpacing/>
        <w:jc w:val="both"/>
        <w:rPr>
          <w:rFonts w:ascii="Bookman Old Style" w:hAnsi="Bookman Old Style"/>
          <w:sz w:val="28"/>
          <w:szCs w:val="28"/>
          <w:lang w:val="en-US"/>
        </w:rPr>
      </w:pPr>
      <w:r w:rsidRPr="006305E7">
        <w:rPr>
          <w:rFonts w:ascii="Bookman Old Style" w:hAnsi="Bookman Old Style"/>
          <w:sz w:val="28"/>
          <w:szCs w:val="28"/>
          <w:lang w:val="en-US"/>
        </w:rPr>
        <w:t>This is an appeal</w:t>
      </w:r>
      <w:r w:rsidR="00824731" w:rsidRPr="006305E7">
        <w:rPr>
          <w:rFonts w:ascii="Bookman Old Style" w:hAnsi="Bookman Old Style"/>
          <w:sz w:val="28"/>
          <w:szCs w:val="28"/>
          <w:lang w:val="en-US"/>
        </w:rPr>
        <w:t xml:space="preserve"> (and cross-appeal)</w:t>
      </w:r>
      <w:r w:rsidRPr="006305E7">
        <w:rPr>
          <w:rFonts w:ascii="Bookman Old Style" w:hAnsi="Bookman Old Style"/>
          <w:sz w:val="28"/>
          <w:szCs w:val="28"/>
          <w:lang w:val="en-US"/>
        </w:rPr>
        <w:t xml:space="preserve"> against the judgement and order of </w:t>
      </w:r>
      <w:proofErr w:type="spellStart"/>
      <w:r w:rsidRPr="006305E7">
        <w:rPr>
          <w:rFonts w:ascii="Bookman Old Style" w:hAnsi="Bookman Old Style"/>
          <w:sz w:val="28"/>
          <w:szCs w:val="28"/>
          <w:lang w:val="en-US"/>
        </w:rPr>
        <w:t>Molete</w:t>
      </w:r>
      <w:proofErr w:type="spellEnd"/>
      <w:r w:rsidRPr="006305E7">
        <w:rPr>
          <w:rFonts w:ascii="Bookman Old Style" w:hAnsi="Bookman Old Style"/>
          <w:sz w:val="28"/>
          <w:szCs w:val="28"/>
          <w:lang w:val="en-US"/>
        </w:rPr>
        <w:t xml:space="preserve"> J making certain declaratory orders following a dispute that arose between the liquidators</w:t>
      </w:r>
      <w:r w:rsidR="00BB36FE" w:rsidRPr="006305E7">
        <w:rPr>
          <w:rFonts w:ascii="Bookman Old Style" w:hAnsi="Bookman Old Style"/>
          <w:sz w:val="28"/>
          <w:szCs w:val="28"/>
          <w:lang w:val="en-US"/>
        </w:rPr>
        <w:t xml:space="preserve"> </w:t>
      </w:r>
      <w:r w:rsidRPr="006305E7">
        <w:rPr>
          <w:rFonts w:ascii="Bookman Old Style" w:hAnsi="Bookman Old Style"/>
          <w:sz w:val="28"/>
          <w:szCs w:val="28"/>
          <w:lang w:val="en-US"/>
        </w:rPr>
        <w:t>of a company in liquidation (</w:t>
      </w:r>
      <w:proofErr w:type="spellStart"/>
      <w:r w:rsidRPr="006305E7">
        <w:rPr>
          <w:rFonts w:ascii="Bookman Old Style" w:hAnsi="Bookman Old Style"/>
          <w:sz w:val="28"/>
          <w:szCs w:val="28"/>
          <w:lang w:val="en-US"/>
        </w:rPr>
        <w:t>Thotanyan</w:t>
      </w:r>
      <w:r w:rsidR="008C482A" w:rsidRPr="006305E7">
        <w:rPr>
          <w:rFonts w:ascii="Bookman Old Style" w:hAnsi="Bookman Old Style"/>
          <w:sz w:val="28"/>
          <w:szCs w:val="28"/>
          <w:lang w:val="en-US"/>
        </w:rPr>
        <w:t>a</w:t>
      </w:r>
      <w:proofErr w:type="spellEnd"/>
      <w:r w:rsidRPr="006305E7">
        <w:rPr>
          <w:rFonts w:ascii="Bookman Old Style" w:hAnsi="Bookman Old Style"/>
          <w:sz w:val="28"/>
          <w:szCs w:val="28"/>
          <w:lang w:val="en-US"/>
        </w:rPr>
        <w:t>) and two banks</w:t>
      </w:r>
      <w:r w:rsidR="00A83C12" w:rsidRPr="006305E7">
        <w:rPr>
          <w:rFonts w:ascii="Bookman Old Style" w:hAnsi="Bookman Old Style"/>
          <w:sz w:val="28"/>
          <w:szCs w:val="28"/>
          <w:lang w:val="en-US"/>
        </w:rPr>
        <w:t xml:space="preserve">, </w:t>
      </w:r>
      <w:r w:rsidRPr="006305E7">
        <w:rPr>
          <w:rFonts w:ascii="Bookman Old Style" w:hAnsi="Bookman Old Style"/>
          <w:sz w:val="28"/>
          <w:szCs w:val="28"/>
          <w:lang w:val="en-US"/>
        </w:rPr>
        <w:t>First</w:t>
      </w:r>
      <w:r w:rsidR="00A83C12" w:rsidRPr="006305E7">
        <w:rPr>
          <w:rFonts w:ascii="Bookman Old Style" w:hAnsi="Bookman Old Style"/>
          <w:sz w:val="28"/>
          <w:szCs w:val="28"/>
          <w:lang w:val="en-US"/>
        </w:rPr>
        <w:t xml:space="preserve"> N</w:t>
      </w:r>
      <w:r w:rsidR="008C70CE" w:rsidRPr="006305E7">
        <w:rPr>
          <w:rFonts w:ascii="Bookman Old Style" w:hAnsi="Bookman Old Style"/>
          <w:sz w:val="28"/>
          <w:szCs w:val="28"/>
          <w:lang w:val="en-US"/>
        </w:rPr>
        <w:t>ational B</w:t>
      </w:r>
      <w:r w:rsidRPr="006305E7">
        <w:rPr>
          <w:rFonts w:ascii="Bookman Old Style" w:hAnsi="Bookman Old Style"/>
          <w:sz w:val="28"/>
          <w:szCs w:val="28"/>
          <w:lang w:val="en-US"/>
        </w:rPr>
        <w:t xml:space="preserve">ank Lesotho </w:t>
      </w:r>
      <w:r w:rsidR="008C70CE" w:rsidRPr="006305E7">
        <w:rPr>
          <w:rFonts w:ascii="Bookman Old Style" w:hAnsi="Bookman Old Style"/>
          <w:sz w:val="28"/>
          <w:szCs w:val="28"/>
          <w:lang w:val="en-US"/>
        </w:rPr>
        <w:t>Ltd</w:t>
      </w:r>
      <w:r w:rsidR="008C482A" w:rsidRPr="006305E7">
        <w:rPr>
          <w:rFonts w:ascii="Bookman Old Style" w:hAnsi="Bookman Old Style"/>
          <w:sz w:val="28"/>
          <w:szCs w:val="28"/>
          <w:lang w:val="en-US"/>
        </w:rPr>
        <w:t xml:space="preserve"> (FNB)</w:t>
      </w:r>
      <w:r w:rsidR="008C70CE" w:rsidRPr="006305E7">
        <w:rPr>
          <w:rFonts w:ascii="Bookman Old Style" w:hAnsi="Bookman Old Style"/>
          <w:sz w:val="28"/>
          <w:szCs w:val="28"/>
          <w:lang w:val="en-US"/>
        </w:rPr>
        <w:t xml:space="preserve"> and</w:t>
      </w:r>
      <w:r w:rsidRPr="006305E7">
        <w:rPr>
          <w:rFonts w:ascii="Bookman Old Style" w:hAnsi="Bookman Old Style"/>
          <w:sz w:val="28"/>
          <w:szCs w:val="28"/>
          <w:lang w:val="en-US"/>
        </w:rPr>
        <w:t xml:space="preserve"> Standard </w:t>
      </w:r>
      <w:r w:rsidR="008C70CE" w:rsidRPr="006305E7">
        <w:rPr>
          <w:rFonts w:ascii="Bookman Old Style" w:hAnsi="Bookman Old Style"/>
          <w:sz w:val="28"/>
          <w:szCs w:val="28"/>
          <w:lang w:val="en-US"/>
        </w:rPr>
        <w:t xml:space="preserve">Lesotho </w:t>
      </w:r>
      <w:r w:rsidRPr="006305E7">
        <w:rPr>
          <w:rFonts w:ascii="Bookman Old Style" w:hAnsi="Bookman Old Style"/>
          <w:sz w:val="28"/>
          <w:szCs w:val="28"/>
          <w:lang w:val="en-US"/>
        </w:rPr>
        <w:t>Bank</w:t>
      </w:r>
      <w:r w:rsidR="00A83C12" w:rsidRPr="006305E7">
        <w:rPr>
          <w:rFonts w:ascii="Bookman Old Style" w:hAnsi="Bookman Old Style"/>
          <w:sz w:val="28"/>
          <w:szCs w:val="28"/>
          <w:lang w:val="en-US"/>
        </w:rPr>
        <w:t xml:space="preserve"> </w:t>
      </w:r>
      <w:r w:rsidR="008C70CE" w:rsidRPr="006305E7">
        <w:rPr>
          <w:rFonts w:ascii="Bookman Old Style" w:hAnsi="Bookman Old Style"/>
          <w:sz w:val="28"/>
          <w:szCs w:val="28"/>
          <w:lang w:val="en-US"/>
        </w:rPr>
        <w:t>Ltd</w:t>
      </w:r>
      <w:r w:rsidR="008C482A" w:rsidRPr="006305E7">
        <w:rPr>
          <w:rFonts w:ascii="Bookman Old Style" w:hAnsi="Bookman Old Style"/>
          <w:sz w:val="28"/>
          <w:szCs w:val="28"/>
          <w:lang w:val="en-US"/>
        </w:rPr>
        <w:t xml:space="preserve"> (Standard bank), collectively ‘</w:t>
      </w:r>
      <w:r w:rsidR="00A83C12" w:rsidRPr="006305E7">
        <w:rPr>
          <w:rFonts w:ascii="Bookman Old Style" w:hAnsi="Bookman Old Style"/>
          <w:sz w:val="28"/>
          <w:szCs w:val="28"/>
          <w:lang w:val="en-US"/>
        </w:rPr>
        <w:t xml:space="preserve">the </w:t>
      </w:r>
      <w:r w:rsidR="00CF6778" w:rsidRPr="006305E7">
        <w:rPr>
          <w:rFonts w:ascii="Bookman Old Style" w:hAnsi="Bookman Old Style"/>
          <w:sz w:val="28"/>
          <w:szCs w:val="28"/>
          <w:lang w:val="en-US"/>
        </w:rPr>
        <w:t>B</w:t>
      </w:r>
      <w:r w:rsidR="00A83C12" w:rsidRPr="006305E7">
        <w:rPr>
          <w:rFonts w:ascii="Bookman Old Style" w:hAnsi="Bookman Old Style"/>
          <w:sz w:val="28"/>
          <w:szCs w:val="28"/>
          <w:lang w:val="en-US"/>
        </w:rPr>
        <w:t>anks</w:t>
      </w:r>
      <w:r w:rsidR="008C482A" w:rsidRPr="006305E7">
        <w:rPr>
          <w:rFonts w:ascii="Bookman Old Style" w:hAnsi="Bookman Old Style"/>
          <w:sz w:val="28"/>
          <w:szCs w:val="28"/>
          <w:lang w:val="en-US"/>
        </w:rPr>
        <w:t>’</w:t>
      </w:r>
      <w:r w:rsidRPr="006305E7">
        <w:rPr>
          <w:rFonts w:ascii="Bookman Old Style" w:hAnsi="Bookman Old Style"/>
          <w:sz w:val="28"/>
          <w:szCs w:val="28"/>
          <w:lang w:val="en-US"/>
        </w:rPr>
        <w:t xml:space="preserve"> which</w:t>
      </w:r>
      <w:r w:rsidR="00A83C12" w:rsidRPr="006305E7">
        <w:rPr>
          <w:rFonts w:ascii="Bookman Old Style" w:hAnsi="Bookman Old Style"/>
          <w:sz w:val="28"/>
          <w:szCs w:val="28"/>
          <w:lang w:val="en-US"/>
        </w:rPr>
        <w:t>,</w:t>
      </w:r>
      <w:r w:rsidRPr="006305E7">
        <w:rPr>
          <w:rFonts w:ascii="Bookman Old Style" w:hAnsi="Bookman Old Style"/>
          <w:sz w:val="28"/>
          <w:szCs w:val="28"/>
          <w:lang w:val="en-US"/>
        </w:rPr>
        <w:t xml:space="preserve"> it is common cause</w:t>
      </w:r>
      <w:r w:rsidR="00A83C12" w:rsidRPr="006305E7">
        <w:rPr>
          <w:rFonts w:ascii="Bookman Old Style" w:hAnsi="Bookman Old Style"/>
          <w:sz w:val="28"/>
          <w:szCs w:val="28"/>
          <w:lang w:val="en-US"/>
        </w:rPr>
        <w:t>,</w:t>
      </w:r>
      <w:r w:rsidRPr="006305E7">
        <w:rPr>
          <w:rFonts w:ascii="Bookman Old Style" w:hAnsi="Bookman Old Style"/>
          <w:sz w:val="28"/>
          <w:szCs w:val="28"/>
          <w:lang w:val="en-US"/>
        </w:rPr>
        <w:t xml:space="preserve"> are </w:t>
      </w:r>
      <w:r w:rsidR="008C482A" w:rsidRPr="006305E7">
        <w:rPr>
          <w:rFonts w:ascii="Bookman Old Style" w:hAnsi="Bookman Old Style"/>
          <w:sz w:val="28"/>
          <w:szCs w:val="28"/>
          <w:lang w:val="en-US"/>
        </w:rPr>
        <w:t>hire-purchase</w:t>
      </w:r>
      <w:r w:rsidRPr="006305E7">
        <w:rPr>
          <w:rFonts w:ascii="Bookman Old Style" w:hAnsi="Bookman Old Style"/>
          <w:sz w:val="28"/>
          <w:szCs w:val="28"/>
          <w:lang w:val="en-US"/>
        </w:rPr>
        <w:t xml:space="preserve"> creditors </w:t>
      </w:r>
      <w:r w:rsidR="008C70CE" w:rsidRPr="006305E7">
        <w:rPr>
          <w:rFonts w:ascii="Bookman Old Style" w:hAnsi="Bookman Old Style"/>
          <w:sz w:val="28"/>
          <w:szCs w:val="28"/>
          <w:lang w:val="en-US"/>
        </w:rPr>
        <w:t xml:space="preserve">of </w:t>
      </w:r>
      <w:proofErr w:type="spellStart"/>
      <w:r w:rsidR="008C70CE" w:rsidRPr="006305E7">
        <w:rPr>
          <w:rFonts w:ascii="Bookman Old Style" w:hAnsi="Bookman Old Style"/>
          <w:sz w:val="28"/>
          <w:szCs w:val="28"/>
          <w:lang w:val="en-US"/>
        </w:rPr>
        <w:t>Thotanyana</w:t>
      </w:r>
      <w:proofErr w:type="spellEnd"/>
      <w:r w:rsidRPr="006305E7">
        <w:rPr>
          <w:rFonts w:ascii="Bookman Old Style" w:hAnsi="Bookman Old Style"/>
          <w:sz w:val="28"/>
          <w:szCs w:val="28"/>
          <w:lang w:val="en-US"/>
        </w:rPr>
        <w:t xml:space="preserve">. </w:t>
      </w:r>
    </w:p>
    <w:p w14:paraId="2A5181FF" w14:textId="77777777" w:rsidR="006305E7" w:rsidRDefault="006305E7" w:rsidP="006305E7">
      <w:pPr>
        <w:tabs>
          <w:tab w:val="left" w:pos="851"/>
        </w:tabs>
        <w:spacing w:line="360" w:lineRule="auto"/>
        <w:contextualSpacing/>
        <w:jc w:val="both"/>
        <w:rPr>
          <w:rFonts w:ascii="Bookman Old Style" w:hAnsi="Bookman Old Style"/>
          <w:sz w:val="28"/>
          <w:szCs w:val="28"/>
          <w:lang w:val="en-US"/>
        </w:rPr>
      </w:pPr>
    </w:p>
    <w:p w14:paraId="13F4E623" w14:textId="77777777" w:rsidR="006305E7" w:rsidRDefault="009527C6" w:rsidP="000D1B85">
      <w:pPr>
        <w:numPr>
          <w:ilvl w:val="0"/>
          <w:numId w:val="14"/>
        </w:numPr>
        <w:tabs>
          <w:tab w:val="left" w:pos="851"/>
        </w:tabs>
        <w:spacing w:line="360" w:lineRule="auto"/>
        <w:ind w:left="0" w:hanging="11"/>
        <w:contextualSpacing/>
        <w:jc w:val="both"/>
        <w:rPr>
          <w:rFonts w:ascii="Bookman Old Style" w:hAnsi="Bookman Old Style"/>
          <w:sz w:val="28"/>
          <w:szCs w:val="28"/>
          <w:lang w:val="en-US"/>
        </w:rPr>
      </w:pPr>
      <w:r w:rsidRPr="006305E7">
        <w:rPr>
          <w:rFonts w:ascii="Bookman Old Style" w:hAnsi="Bookman Old Style"/>
          <w:sz w:val="28"/>
          <w:szCs w:val="28"/>
          <w:lang w:val="en-US"/>
        </w:rPr>
        <w:t xml:space="preserve">The essence of the dispute is whether </w:t>
      </w:r>
      <w:r w:rsidR="00A83C12" w:rsidRPr="006305E7">
        <w:rPr>
          <w:rFonts w:ascii="Bookman Old Style" w:hAnsi="Bookman Old Style"/>
          <w:sz w:val="28"/>
          <w:szCs w:val="28"/>
          <w:lang w:val="en-US"/>
        </w:rPr>
        <w:t xml:space="preserve">the </w:t>
      </w:r>
      <w:r w:rsidR="008C70CE" w:rsidRPr="006305E7">
        <w:rPr>
          <w:rFonts w:ascii="Bookman Old Style" w:hAnsi="Bookman Old Style"/>
          <w:sz w:val="28"/>
          <w:szCs w:val="28"/>
          <w:lang w:val="en-US"/>
        </w:rPr>
        <w:t xml:space="preserve">loans extended to </w:t>
      </w:r>
      <w:proofErr w:type="spellStart"/>
      <w:r w:rsidR="008C1BB2" w:rsidRPr="006305E7">
        <w:rPr>
          <w:rFonts w:ascii="Bookman Old Style" w:hAnsi="Bookman Old Style"/>
          <w:sz w:val="28"/>
          <w:szCs w:val="28"/>
          <w:lang w:val="en-US"/>
        </w:rPr>
        <w:t>Thotanyana</w:t>
      </w:r>
      <w:proofErr w:type="spellEnd"/>
      <w:r w:rsidR="00A83C12" w:rsidRPr="006305E7">
        <w:rPr>
          <w:rFonts w:ascii="Bookman Old Style" w:hAnsi="Bookman Old Style"/>
          <w:sz w:val="28"/>
          <w:szCs w:val="28"/>
          <w:lang w:val="en-US"/>
        </w:rPr>
        <w:t xml:space="preserve"> by the </w:t>
      </w:r>
      <w:r w:rsidR="00CF6778" w:rsidRPr="006305E7">
        <w:rPr>
          <w:rFonts w:ascii="Bookman Old Style" w:hAnsi="Bookman Old Style"/>
          <w:sz w:val="28"/>
          <w:szCs w:val="28"/>
          <w:lang w:val="en-US"/>
        </w:rPr>
        <w:t>B</w:t>
      </w:r>
      <w:r w:rsidR="00A83C12" w:rsidRPr="006305E7">
        <w:rPr>
          <w:rFonts w:ascii="Bookman Old Style" w:hAnsi="Bookman Old Style"/>
          <w:sz w:val="28"/>
          <w:szCs w:val="28"/>
          <w:lang w:val="en-US"/>
        </w:rPr>
        <w:t>anks under hire purchase agreements entitle the</w:t>
      </w:r>
      <w:r w:rsidR="00BB36FE" w:rsidRPr="006305E7">
        <w:rPr>
          <w:rFonts w:ascii="Bookman Old Style" w:hAnsi="Bookman Old Style"/>
          <w:sz w:val="28"/>
          <w:szCs w:val="28"/>
          <w:lang w:val="en-US"/>
        </w:rPr>
        <w:t xml:space="preserve"> </w:t>
      </w:r>
      <w:r w:rsidR="00CF6778" w:rsidRPr="006305E7">
        <w:rPr>
          <w:rFonts w:ascii="Bookman Old Style" w:hAnsi="Bookman Old Style"/>
          <w:sz w:val="28"/>
          <w:szCs w:val="28"/>
          <w:lang w:val="en-US"/>
        </w:rPr>
        <w:t>B</w:t>
      </w:r>
      <w:r w:rsidR="00BB36FE" w:rsidRPr="006305E7">
        <w:rPr>
          <w:rFonts w:ascii="Bookman Old Style" w:hAnsi="Bookman Old Style"/>
          <w:sz w:val="28"/>
          <w:szCs w:val="28"/>
          <w:lang w:val="en-US"/>
        </w:rPr>
        <w:t>anks</w:t>
      </w:r>
      <w:r w:rsidR="00A83C12" w:rsidRPr="006305E7">
        <w:rPr>
          <w:rFonts w:ascii="Bookman Old Style" w:hAnsi="Bookman Old Style"/>
          <w:sz w:val="28"/>
          <w:szCs w:val="28"/>
          <w:lang w:val="en-US"/>
        </w:rPr>
        <w:t xml:space="preserve"> to </w:t>
      </w:r>
      <w:proofErr w:type="spellStart"/>
      <w:r w:rsidR="00A83C12" w:rsidRPr="006305E7">
        <w:rPr>
          <w:rFonts w:ascii="Bookman Old Style" w:hAnsi="Bookman Old Style"/>
          <w:sz w:val="28"/>
          <w:szCs w:val="28"/>
          <w:lang w:val="en-US"/>
        </w:rPr>
        <w:t>realise</w:t>
      </w:r>
      <w:proofErr w:type="spellEnd"/>
      <w:r w:rsidR="00CF6778" w:rsidRPr="006305E7">
        <w:rPr>
          <w:rFonts w:ascii="Bookman Old Style" w:hAnsi="Bookman Old Style"/>
          <w:sz w:val="28"/>
          <w:szCs w:val="28"/>
          <w:lang w:val="en-US"/>
        </w:rPr>
        <w:t>,</w:t>
      </w:r>
      <w:r w:rsidR="00A83C12" w:rsidRPr="006305E7">
        <w:rPr>
          <w:rFonts w:ascii="Bookman Old Style" w:hAnsi="Bookman Old Style"/>
          <w:sz w:val="28"/>
          <w:szCs w:val="28"/>
          <w:lang w:val="en-US"/>
        </w:rPr>
        <w:t xml:space="preserve"> alienate and to retain the proceeds </w:t>
      </w:r>
      <w:r w:rsidR="00741F32" w:rsidRPr="006305E7">
        <w:rPr>
          <w:rFonts w:ascii="Bookman Old Style" w:hAnsi="Bookman Old Style"/>
          <w:sz w:val="28"/>
          <w:szCs w:val="28"/>
          <w:lang w:val="en-US"/>
        </w:rPr>
        <w:t>of</w:t>
      </w:r>
      <w:r w:rsidR="00BB36FE" w:rsidRPr="006305E7">
        <w:rPr>
          <w:rFonts w:ascii="Bookman Old Style" w:hAnsi="Bookman Old Style"/>
          <w:sz w:val="28"/>
          <w:szCs w:val="28"/>
          <w:lang w:val="en-US"/>
        </w:rPr>
        <w:t xml:space="preserve"> sale of the </w:t>
      </w:r>
      <w:r w:rsidR="00741F32" w:rsidRPr="006305E7">
        <w:rPr>
          <w:rFonts w:ascii="Bookman Old Style" w:hAnsi="Bookman Old Style"/>
          <w:sz w:val="28"/>
          <w:szCs w:val="28"/>
          <w:lang w:val="en-US"/>
        </w:rPr>
        <w:t>hire-purchase</w:t>
      </w:r>
      <w:r w:rsidR="00BB36FE" w:rsidRPr="006305E7">
        <w:rPr>
          <w:rFonts w:ascii="Bookman Old Style" w:hAnsi="Bookman Old Style"/>
          <w:sz w:val="28"/>
          <w:szCs w:val="28"/>
          <w:lang w:val="en-US"/>
        </w:rPr>
        <w:t xml:space="preserve"> </w:t>
      </w:r>
      <w:r w:rsidR="00CF6778" w:rsidRPr="006305E7">
        <w:rPr>
          <w:rFonts w:ascii="Bookman Old Style" w:hAnsi="Bookman Old Style"/>
          <w:sz w:val="28"/>
          <w:szCs w:val="28"/>
          <w:lang w:val="en-US"/>
        </w:rPr>
        <w:t>assets</w:t>
      </w:r>
      <w:r w:rsidR="00BB36FE" w:rsidRPr="006305E7">
        <w:rPr>
          <w:rFonts w:ascii="Bookman Old Style" w:hAnsi="Bookman Old Style"/>
          <w:sz w:val="28"/>
          <w:szCs w:val="28"/>
          <w:lang w:val="en-US"/>
        </w:rPr>
        <w:t xml:space="preserve">, </w:t>
      </w:r>
      <w:r w:rsidR="00A83C12" w:rsidRPr="006305E7">
        <w:rPr>
          <w:rFonts w:ascii="Bookman Old Style" w:hAnsi="Bookman Old Style"/>
          <w:sz w:val="28"/>
          <w:szCs w:val="28"/>
          <w:lang w:val="en-US"/>
        </w:rPr>
        <w:t xml:space="preserve">without surrendering it to the liquidators </w:t>
      </w:r>
      <w:r w:rsidR="00CF6778" w:rsidRPr="006305E7">
        <w:rPr>
          <w:rFonts w:ascii="Bookman Old Style" w:hAnsi="Bookman Old Style"/>
          <w:sz w:val="28"/>
          <w:szCs w:val="28"/>
          <w:lang w:val="en-US"/>
        </w:rPr>
        <w:t>who will retain the funds</w:t>
      </w:r>
      <w:r w:rsidR="00A83C12" w:rsidRPr="006305E7">
        <w:rPr>
          <w:rFonts w:ascii="Bookman Old Style" w:hAnsi="Bookman Old Style"/>
          <w:sz w:val="28"/>
          <w:szCs w:val="28"/>
          <w:lang w:val="en-US"/>
        </w:rPr>
        <w:t xml:space="preserve"> in the general pool of the </w:t>
      </w:r>
      <w:r w:rsidR="00CF6778" w:rsidRPr="006305E7">
        <w:rPr>
          <w:rFonts w:ascii="Bookman Old Style" w:hAnsi="Bookman Old Style"/>
          <w:sz w:val="28"/>
          <w:szCs w:val="28"/>
          <w:lang w:val="en-US"/>
        </w:rPr>
        <w:lastRenderedPageBreak/>
        <w:t xml:space="preserve">sequestrated company’s </w:t>
      </w:r>
      <w:r w:rsidR="00A83C12" w:rsidRPr="006305E7">
        <w:rPr>
          <w:rFonts w:ascii="Bookman Old Style" w:hAnsi="Bookman Old Style"/>
          <w:sz w:val="28"/>
          <w:szCs w:val="28"/>
          <w:lang w:val="en-US"/>
        </w:rPr>
        <w:t>estate</w:t>
      </w:r>
      <w:r w:rsidR="00CF6778" w:rsidRPr="006305E7">
        <w:rPr>
          <w:rFonts w:ascii="Bookman Old Style" w:hAnsi="Bookman Old Style"/>
          <w:sz w:val="28"/>
          <w:szCs w:val="28"/>
          <w:lang w:val="en-US"/>
        </w:rPr>
        <w:t xml:space="preserve"> - </w:t>
      </w:r>
      <w:r w:rsidR="00A83C12" w:rsidRPr="006305E7">
        <w:rPr>
          <w:rFonts w:ascii="Bookman Old Style" w:hAnsi="Bookman Old Style"/>
          <w:sz w:val="28"/>
          <w:szCs w:val="28"/>
          <w:lang w:val="en-US"/>
        </w:rPr>
        <w:t>for the benefit of all creditors, bot</w:t>
      </w:r>
      <w:r w:rsidR="004B5D91" w:rsidRPr="006305E7">
        <w:rPr>
          <w:rFonts w:ascii="Bookman Old Style" w:hAnsi="Bookman Old Style"/>
          <w:sz w:val="28"/>
          <w:szCs w:val="28"/>
          <w:lang w:val="en-US"/>
        </w:rPr>
        <w:t>h</w:t>
      </w:r>
      <w:r w:rsidR="00A83C12" w:rsidRPr="006305E7">
        <w:rPr>
          <w:rFonts w:ascii="Bookman Old Style" w:hAnsi="Bookman Old Style"/>
          <w:sz w:val="28"/>
          <w:szCs w:val="28"/>
          <w:lang w:val="en-US"/>
        </w:rPr>
        <w:t xml:space="preserve"> secured and unsecured.</w:t>
      </w:r>
    </w:p>
    <w:p w14:paraId="352D7FAB" w14:textId="77777777" w:rsidR="006305E7" w:rsidRDefault="006305E7" w:rsidP="006305E7">
      <w:pPr>
        <w:pStyle w:val="ListParagraph"/>
        <w:rPr>
          <w:rFonts w:ascii="Bookman Old Style" w:hAnsi="Bookman Old Style"/>
          <w:sz w:val="28"/>
          <w:szCs w:val="28"/>
          <w:lang w:val="en-US"/>
        </w:rPr>
      </w:pPr>
    </w:p>
    <w:p w14:paraId="2D878A61" w14:textId="291E8EFE" w:rsidR="006305E7" w:rsidRDefault="00824731" w:rsidP="000D1B85">
      <w:pPr>
        <w:numPr>
          <w:ilvl w:val="0"/>
          <w:numId w:val="14"/>
        </w:numPr>
        <w:tabs>
          <w:tab w:val="left" w:pos="851"/>
        </w:tabs>
        <w:spacing w:line="360" w:lineRule="auto"/>
        <w:ind w:left="0" w:hanging="11"/>
        <w:contextualSpacing/>
        <w:jc w:val="both"/>
        <w:rPr>
          <w:rFonts w:ascii="Bookman Old Style" w:hAnsi="Bookman Old Style"/>
          <w:sz w:val="28"/>
          <w:szCs w:val="28"/>
          <w:lang w:val="en-US"/>
        </w:rPr>
      </w:pPr>
      <w:proofErr w:type="spellStart"/>
      <w:r w:rsidRPr="006305E7">
        <w:rPr>
          <w:rFonts w:ascii="Bookman Old Style" w:hAnsi="Bookman Old Style"/>
          <w:sz w:val="28"/>
          <w:szCs w:val="28"/>
          <w:lang w:val="en-US"/>
        </w:rPr>
        <w:t>Thotanyana</w:t>
      </w:r>
      <w:proofErr w:type="spellEnd"/>
      <w:r w:rsidRPr="006305E7">
        <w:rPr>
          <w:rFonts w:ascii="Bookman Old Style" w:hAnsi="Bookman Old Style"/>
          <w:sz w:val="28"/>
          <w:szCs w:val="28"/>
          <w:lang w:val="en-US"/>
        </w:rPr>
        <w:t xml:space="preserve"> was liquidated on 5 December </w:t>
      </w:r>
      <w:r w:rsidR="000B4048" w:rsidRPr="006305E7">
        <w:rPr>
          <w:rFonts w:ascii="Bookman Old Style" w:hAnsi="Bookman Old Style"/>
          <w:sz w:val="28"/>
          <w:szCs w:val="28"/>
          <w:lang w:val="en-US"/>
        </w:rPr>
        <w:t xml:space="preserve">2014 and the </w:t>
      </w:r>
      <w:r w:rsidR="00CF6778" w:rsidRPr="006305E7">
        <w:rPr>
          <w:rFonts w:ascii="Bookman Old Style" w:hAnsi="Bookman Old Style"/>
          <w:sz w:val="28"/>
          <w:szCs w:val="28"/>
          <w:lang w:val="en-US"/>
        </w:rPr>
        <w:t>appellants (L</w:t>
      </w:r>
      <w:r w:rsidR="000B4048" w:rsidRPr="006305E7">
        <w:rPr>
          <w:rFonts w:ascii="Bookman Old Style" w:hAnsi="Bookman Old Style"/>
          <w:sz w:val="28"/>
          <w:szCs w:val="28"/>
          <w:lang w:val="en-US"/>
        </w:rPr>
        <w:t>iquidators</w:t>
      </w:r>
      <w:r w:rsidR="00CF6778" w:rsidRPr="006305E7">
        <w:rPr>
          <w:rFonts w:ascii="Bookman Old Style" w:hAnsi="Bookman Old Style"/>
          <w:sz w:val="28"/>
          <w:szCs w:val="28"/>
          <w:lang w:val="en-US"/>
        </w:rPr>
        <w:t>)</w:t>
      </w:r>
      <w:r w:rsidR="000B4048" w:rsidRPr="006305E7">
        <w:rPr>
          <w:rFonts w:ascii="Bookman Old Style" w:hAnsi="Bookman Old Style"/>
          <w:sz w:val="28"/>
          <w:szCs w:val="28"/>
          <w:lang w:val="en-US"/>
        </w:rPr>
        <w:t xml:space="preserve"> were appointed by the Master</w:t>
      </w:r>
      <w:r w:rsidR="001E1FC8">
        <w:rPr>
          <w:rFonts w:ascii="Bookman Old Style" w:hAnsi="Bookman Old Style"/>
          <w:sz w:val="28"/>
          <w:szCs w:val="28"/>
          <w:lang w:val="en-US"/>
        </w:rPr>
        <w:t xml:space="preserve"> of the High Court (master)</w:t>
      </w:r>
      <w:r w:rsidR="000B4048" w:rsidRPr="006305E7">
        <w:rPr>
          <w:rFonts w:ascii="Bookman Old Style" w:hAnsi="Bookman Old Style"/>
          <w:sz w:val="28"/>
          <w:szCs w:val="28"/>
          <w:lang w:val="en-US"/>
        </w:rPr>
        <w:t xml:space="preserve"> on 15 December 2014.</w:t>
      </w:r>
      <w:r w:rsidR="0035216B" w:rsidRPr="006305E7">
        <w:rPr>
          <w:rFonts w:ascii="Bookman Old Style" w:hAnsi="Bookman Old Style"/>
          <w:sz w:val="28"/>
          <w:szCs w:val="28"/>
          <w:lang w:val="en-US"/>
        </w:rPr>
        <w:t xml:space="preserve"> A dispute arose between FNB and the </w:t>
      </w:r>
      <w:r w:rsidR="00CF6778" w:rsidRPr="006305E7">
        <w:rPr>
          <w:rFonts w:ascii="Bookman Old Style" w:hAnsi="Bookman Old Style"/>
          <w:sz w:val="28"/>
          <w:szCs w:val="28"/>
          <w:lang w:val="en-US"/>
        </w:rPr>
        <w:t>L</w:t>
      </w:r>
      <w:r w:rsidR="0035216B" w:rsidRPr="006305E7">
        <w:rPr>
          <w:rFonts w:ascii="Bookman Old Style" w:hAnsi="Bookman Old Style"/>
          <w:sz w:val="28"/>
          <w:szCs w:val="28"/>
          <w:lang w:val="en-US"/>
        </w:rPr>
        <w:t xml:space="preserve">iquidators about how certain assets purchased by </w:t>
      </w:r>
      <w:proofErr w:type="spellStart"/>
      <w:r w:rsidR="0035216B" w:rsidRPr="006305E7">
        <w:rPr>
          <w:rFonts w:ascii="Bookman Old Style" w:hAnsi="Bookman Old Style"/>
          <w:sz w:val="28"/>
          <w:szCs w:val="28"/>
          <w:lang w:val="en-US"/>
        </w:rPr>
        <w:t>Thotanyana</w:t>
      </w:r>
      <w:proofErr w:type="spellEnd"/>
      <w:r w:rsidR="0035216B" w:rsidRPr="006305E7">
        <w:rPr>
          <w:rFonts w:ascii="Bookman Old Style" w:hAnsi="Bookman Old Style"/>
          <w:sz w:val="28"/>
          <w:szCs w:val="28"/>
          <w:lang w:val="en-US"/>
        </w:rPr>
        <w:t xml:space="preserve"> on hire-purchase should be dealt with. The </w:t>
      </w:r>
      <w:r w:rsidR="00CF6778" w:rsidRPr="006305E7">
        <w:rPr>
          <w:rFonts w:ascii="Bookman Old Style" w:hAnsi="Bookman Old Style"/>
          <w:sz w:val="28"/>
          <w:szCs w:val="28"/>
          <w:lang w:val="en-US"/>
        </w:rPr>
        <w:t>L</w:t>
      </w:r>
      <w:r w:rsidR="0035216B" w:rsidRPr="006305E7">
        <w:rPr>
          <w:rFonts w:ascii="Bookman Old Style" w:hAnsi="Bookman Old Style"/>
          <w:sz w:val="28"/>
          <w:szCs w:val="28"/>
          <w:lang w:val="en-US"/>
        </w:rPr>
        <w:t xml:space="preserve">iquidators took the view that those assets are estate assets </w:t>
      </w:r>
      <w:r w:rsidR="001E1FC8">
        <w:rPr>
          <w:rFonts w:ascii="Bookman Old Style" w:hAnsi="Bookman Old Style"/>
          <w:sz w:val="28"/>
          <w:szCs w:val="28"/>
          <w:lang w:val="en-US"/>
        </w:rPr>
        <w:t xml:space="preserve">in the liquidation, </w:t>
      </w:r>
      <w:r w:rsidR="0035216B" w:rsidRPr="006305E7">
        <w:rPr>
          <w:rFonts w:ascii="Bookman Old Style" w:hAnsi="Bookman Old Style"/>
          <w:sz w:val="28"/>
          <w:szCs w:val="28"/>
          <w:lang w:val="en-US"/>
        </w:rPr>
        <w:t xml:space="preserve">that FNB is a creditor of the estate and that </w:t>
      </w:r>
      <w:r w:rsidR="001E1FC8">
        <w:rPr>
          <w:rFonts w:ascii="Bookman Old Style" w:hAnsi="Bookman Old Style"/>
          <w:sz w:val="28"/>
          <w:szCs w:val="28"/>
          <w:lang w:val="en-US"/>
        </w:rPr>
        <w:t xml:space="preserve">its </w:t>
      </w:r>
      <w:r w:rsidR="0035216B" w:rsidRPr="006305E7">
        <w:rPr>
          <w:rFonts w:ascii="Bookman Old Style" w:hAnsi="Bookman Old Style"/>
          <w:sz w:val="28"/>
          <w:szCs w:val="28"/>
          <w:lang w:val="en-US"/>
        </w:rPr>
        <w:t>claim is secured by the assets</w:t>
      </w:r>
      <w:r w:rsidR="00741F32" w:rsidRPr="006305E7">
        <w:rPr>
          <w:rFonts w:ascii="Bookman Old Style" w:hAnsi="Bookman Old Style"/>
          <w:sz w:val="28"/>
          <w:szCs w:val="28"/>
          <w:lang w:val="en-US"/>
        </w:rPr>
        <w:t>,</w:t>
      </w:r>
      <w:r w:rsidR="0035216B" w:rsidRPr="006305E7">
        <w:rPr>
          <w:rFonts w:ascii="Bookman Old Style" w:hAnsi="Bookman Old Style"/>
          <w:sz w:val="28"/>
          <w:szCs w:val="28"/>
          <w:lang w:val="en-US"/>
        </w:rPr>
        <w:t xml:space="preserve"> provided it filed a claim. </w:t>
      </w:r>
      <w:r w:rsidR="00741F32" w:rsidRPr="006305E7">
        <w:rPr>
          <w:rFonts w:ascii="Bookman Old Style" w:hAnsi="Bookman Old Style"/>
          <w:sz w:val="28"/>
          <w:szCs w:val="28"/>
          <w:lang w:val="en-US"/>
        </w:rPr>
        <w:t xml:space="preserve">On the other hand, </w:t>
      </w:r>
      <w:r w:rsidR="0035216B" w:rsidRPr="006305E7">
        <w:rPr>
          <w:rFonts w:ascii="Bookman Old Style" w:hAnsi="Bookman Old Style"/>
          <w:sz w:val="28"/>
          <w:szCs w:val="28"/>
          <w:lang w:val="en-US"/>
        </w:rPr>
        <w:t>FNB maintains that it is the owner of the assets</w:t>
      </w:r>
      <w:r w:rsidR="001E1FC8">
        <w:rPr>
          <w:rFonts w:ascii="Bookman Old Style" w:hAnsi="Bookman Old Style"/>
          <w:sz w:val="28"/>
          <w:szCs w:val="28"/>
          <w:lang w:val="en-US"/>
        </w:rPr>
        <w:t xml:space="preserve"> bought on hire-purchase</w:t>
      </w:r>
      <w:r w:rsidR="0035216B" w:rsidRPr="006305E7">
        <w:rPr>
          <w:rFonts w:ascii="Bookman Old Style" w:hAnsi="Bookman Old Style"/>
          <w:sz w:val="28"/>
          <w:szCs w:val="28"/>
          <w:lang w:val="en-US"/>
        </w:rPr>
        <w:t>; that the assets are not estate assets and that</w:t>
      </w:r>
      <w:r w:rsidR="001E1FC8">
        <w:rPr>
          <w:rFonts w:ascii="Bookman Old Style" w:hAnsi="Bookman Old Style"/>
          <w:sz w:val="28"/>
          <w:szCs w:val="28"/>
          <w:lang w:val="en-US"/>
        </w:rPr>
        <w:t>, as hire-purchase creditor,</w:t>
      </w:r>
      <w:r w:rsidR="0035216B" w:rsidRPr="006305E7">
        <w:rPr>
          <w:rFonts w:ascii="Bookman Old Style" w:hAnsi="Bookman Old Style"/>
          <w:sz w:val="28"/>
          <w:szCs w:val="28"/>
          <w:lang w:val="en-US"/>
        </w:rPr>
        <w:t xml:space="preserve"> it is not secured by any assets and that</w:t>
      </w:r>
      <w:r w:rsidR="00CF6778" w:rsidRPr="006305E7">
        <w:rPr>
          <w:rFonts w:ascii="Bookman Old Style" w:hAnsi="Bookman Old Style"/>
          <w:sz w:val="28"/>
          <w:szCs w:val="28"/>
          <w:lang w:val="en-US"/>
        </w:rPr>
        <w:t>,</w:t>
      </w:r>
      <w:r w:rsidR="0035216B" w:rsidRPr="006305E7">
        <w:rPr>
          <w:rFonts w:ascii="Bookman Old Style" w:hAnsi="Bookman Old Style"/>
          <w:sz w:val="28"/>
          <w:szCs w:val="28"/>
          <w:lang w:val="en-US"/>
        </w:rPr>
        <w:t xml:space="preserve"> as </w:t>
      </w:r>
      <w:r w:rsidR="00CF6778" w:rsidRPr="006305E7">
        <w:rPr>
          <w:rFonts w:ascii="Bookman Old Style" w:hAnsi="Bookman Old Style"/>
          <w:sz w:val="28"/>
          <w:szCs w:val="28"/>
          <w:lang w:val="en-US"/>
        </w:rPr>
        <w:t>a</w:t>
      </w:r>
      <w:r w:rsidR="0035216B" w:rsidRPr="006305E7">
        <w:rPr>
          <w:rFonts w:ascii="Bookman Old Style" w:hAnsi="Bookman Old Style"/>
          <w:sz w:val="28"/>
          <w:szCs w:val="28"/>
          <w:lang w:val="en-US"/>
        </w:rPr>
        <w:t xml:space="preserve"> hire</w:t>
      </w:r>
      <w:r w:rsidR="004E4D20" w:rsidRPr="006305E7">
        <w:rPr>
          <w:rFonts w:ascii="Bookman Old Style" w:hAnsi="Bookman Old Style"/>
          <w:sz w:val="28"/>
          <w:szCs w:val="28"/>
          <w:lang w:val="en-US"/>
        </w:rPr>
        <w:t>-</w:t>
      </w:r>
      <w:r w:rsidR="0035216B" w:rsidRPr="006305E7">
        <w:rPr>
          <w:rFonts w:ascii="Bookman Old Style" w:hAnsi="Bookman Old Style"/>
          <w:sz w:val="28"/>
          <w:szCs w:val="28"/>
          <w:lang w:val="en-US"/>
        </w:rPr>
        <w:t>purchase creditor</w:t>
      </w:r>
      <w:r w:rsidR="00CF6778" w:rsidRPr="006305E7">
        <w:rPr>
          <w:rFonts w:ascii="Bookman Old Style" w:hAnsi="Bookman Old Style"/>
          <w:sz w:val="28"/>
          <w:szCs w:val="28"/>
          <w:lang w:val="en-US"/>
        </w:rPr>
        <w:t>,</w:t>
      </w:r>
      <w:r w:rsidR="0035216B" w:rsidRPr="006305E7">
        <w:rPr>
          <w:rFonts w:ascii="Bookman Old Style" w:hAnsi="Bookman Old Style"/>
          <w:sz w:val="28"/>
          <w:szCs w:val="28"/>
          <w:lang w:val="en-US"/>
        </w:rPr>
        <w:t xml:space="preserve"> it has the right to dispose of the assets</w:t>
      </w:r>
      <w:r w:rsidR="001E1FC8">
        <w:rPr>
          <w:rFonts w:ascii="Bookman Old Style" w:hAnsi="Bookman Old Style"/>
          <w:sz w:val="28"/>
          <w:szCs w:val="28"/>
          <w:lang w:val="en-US"/>
        </w:rPr>
        <w:t xml:space="preserve"> to liquidate the debt owed by </w:t>
      </w:r>
      <w:proofErr w:type="spellStart"/>
      <w:r w:rsidR="001E1FC8">
        <w:rPr>
          <w:rFonts w:ascii="Bookman Old Style" w:hAnsi="Bookman Old Style"/>
          <w:sz w:val="28"/>
          <w:szCs w:val="28"/>
          <w:lang w:val="en-US"/>
        </w:rPr>
        <w:t>Thotanyana</w:t>
      </w:r>
      <w:proofErr w:type="spellEnd"/>
      <w:r w:rsidR="0035216B" w:rsidRPr="006305E7">
        <w:rPr>
          <w:rFonts w:ascii="Bookman Old Style" w:hAnsi="Bookman Old Style"/>
          <w:sz w:val="28"/>
          <w:szCs w:val="28"/>
          <w:lang w:val="en-US"/>
        </w:rPr>
        <w:t xml:space="preserve">. </w:t>
      </w:r>
    </w:p>
    <w:p w14:paraId="43D47B1D" w14:textId="77777777" w:rsidR="006305E7" w:rsidRDefault="006305E7" w:rsidP="006305E7">
      <w:pPr>
        <w:pStyle w:val="ListParagraph"/>
        <w:rPr>
          <w:rFonts w:ascii="Bookman Old Style" w:hAnsi="Bookman Old Style"/>
          <w:sz w:val="28"/>
          <w:szCs w:val="28"/>
          <w:lang w:val="en-US"/>
        </w:rPr>
      </w:pPr>
    </w:p>
    <w:p w14:paraId="4983D323" w14:textId="06AEA1E0" w:rsidR="006305E7" w:rsidRDefault="0035216B" w:rsidP="000D1B85">
      <w:pPr>
        <w:numPr>
          <w:ilvl w:val="0"/>
          <w:numId w:val="14"/>
        </w:numPr>
        <w:tabs>
          <w:tab w:val="left" w:pos="851"/>
        </w:tabs>
        <w:spacing w:line="360" w:lineRule="auto"/>
        <w:ind w:left="0" w:hanging="11"/>
        <w:contextualSpacing/>
        <w:jc w:val="both"/>
        <w:rPr>
          <w:rFonts w:ascii="Bookman Old Style" w:hAnsi="Bookman Old Style"/>
          <w:sz w:val="28"/>
          <w:szCs w:val="28"/>
          <w:lang w:val="en-US"/>
        </w:rPr>
      </w:pPr>
      <w:r w:rsidRPr="006305E7">
        <w:rPr>
          <w:rFonts w:ascii="Bookman Old Style" w:hAnsi="Bookman Old Style"/>
          <w:sz w:val="28"/>
          <w:szCs w:val="28"/>
          <w:lang w:val="en-US"/>
        </w:rPr>
        <w:t>In view of the impasse</w:t>
      </w:r>
      <w:r w:rsidR="001E1FC8">
        <w:rPr>
          <w:rFonts w:ascii="Bookman Old Style" w:hAnsi="Bookman Old Style"/>
          <w:sz w:val="28"/>
          <w:szCs w:val="28"/>
          <w:lang w:val="en-US"/>
        </w:rPr>
        <w:t>, FNB asked the Master to make</w:t>
      </w:r>
      <w:r w:rsidRPr="006305E7">
        <w:rPr>
          <w:rFonts w:ascii="Bookman Old Style" w:hAnsi="Bookman Old Style"/>
          <w:sz w:val="28"/>
          <w:szCs w:val="28"/>
          <w:lang w:val="en-US"/>
        </w:rPr>
        <w:t xml:space="preserve"> ruling</w:t>
      </w:r>
      <w:r w:rsidR="001E1FC8">
        <w:rPr>
          <w:rFonts w:ascii="Bookman Old Style" w:hAnsi="Bookman Old Style"/>
          <w:sz w:val="28"/>
          <w:szCs w:val="28"/>
          <w:lang w:val="en-US"/>
        </w:rPr>
        <w:t>s</w:t>
      </w:r>
      <w:r w:rsidRPr="006305E7">
        <w:rPr>
          <w:rFonts w:ascii="Bookman Old Style" w:hAnsi="Bookman Old Style"/>
          <w:sz w:val="28"/>
          <w:szCs w:val="28"/>
          <w:lang w:val="en-US"/>
        </w:rPr>
        <w:t xml:space="preserve">, a move that was opposed by the </w:t>
      </w:r>
      <w:r w:rsidR="00CF6778" w:rsidRPr="006305E7">
        <w:rPr>
          <w:rFonts w:ascii="Bookman Old Style" w:hAnsi="Bookman Old Style"/>
          <w:sz w:val="28"/>
          <w:szCs w:val="28"/>
          <w:lang w:val="en-US"/>
        </w:rPr>
        <w:t>L</w:t>
      </w:r>
      <w:r w:rsidRPr="006305E7">
        <w:rPr>
          <w:rFonts w:ascii="Bookman Old Style" w:hAnsi="Bookman Old Style"/>
          <w:sz w:val="28"/>
          <w:szCs w:val="28"/>
          <w:lang w:val="en-US"/>
        </w:rPr>
        <w:t xml:space="preserve">iquidators who felt that the Master had no such power. The Master gave </w:t>
      </w:r>
      <w:r w:rsidR="001E1FC8">
        <w:rPr>
          <w:rFonts w:ascii="Bookman Old Style" w:hAnsi="Bookman Old Style"/>
          <w:sz w:val="28"/>
          <w:szCs w:val="28"/>
          <w:lang w:val="en-US"/>
        </w:rPr>
        <w:t xml:space="preserve">certain </w:t>
      </w:r>
      <w:r w:rsidRPr="006305E7">
        <w:rPr>
          <w:rFonts w:ascii="Bookman Old Style" w:hAnsi="Bookman Old Style"/>
          <w:sz w:val="28"/>
          <w:szCs w:val="28"/>
          <w:lang w:val="en-US"/>
        </w:rPr>
        <w:t>ruling</w:t>
      </w:r>
      <w:r w:rsidR="001E1FC8">
        <w:rPr>
          <w:rFonts w:ascii="Bookman Old Style" w:hAnsi="Bookman Old Style"/>
          <w:sz w:val="28"/>
          <w:szCs w:val="28"/>
          <w:lang w:val="en-US"/>
        </w:rPr>
        <w:t>s</w:t>
      </w:r>
      <w:r w:rsidRPr="006305E7">
        <w:rPr>
          <w:rFonts w:ascii="Bookman Old Style" w:hAnsi="Bookman Old Style"/>
          <w:sz w:val="28"/>
          <w:szCs w:val="28"/>
          <w:lang w:val="en-US"/>
        </w:rPr>
        <w:t xml:space="preserve"> </w:t>
      </w:r>
      <w:r w:rsidR="00CF6778" w:rsidRPr="006305E7">
        <w:rPr>
          <w:rFonts w:ascii="Bookman Old Style" w:hAnsi="Bookman Old Style"/>
          <w:sz w:val="28"/>
          <w:szCs w:val="28"/>
          <w:lang w:val="en-US"/>
        </w:rPr>
        <w:t xml:space="preserve">any way </w:t>
      </w:r>
      <w:r w:rsidR="001E1FC8">
        <w:rPr>
          <w:rFonts w:ascii="Bookman Old Style" w:hAnsi="Bookman Old Style"/>
          <w:sz w:val="28"/>
          <w:szCs w:val="28"/>
          <w:lang w:val="en-US"/>
        </w:rPr>
        <w:t xml:space="preserve">- </w:t>
      </w:r>
      <w:r w:rsidRPr="006305E7">
        <w:rPr>
          <w:rFonts w:ascii="Bookman Old Style" w:hAnsi="Bookman Old Style"/>
          <w:sz w:val="28"/>
          <w:szCs w:val="28"/>
          <w:lang w:val="en-US"/>
        </w:rPr>
        <w:t xml:space="preserve">in </w:t>
      </w:r>
      <w:proofErr w:type="spellStart"/>
      <w:r w:rsidRPr="006305E7">
        <w:rPr>
          <w:rFonts w:ascii="Bookman Old Style" w:hAnsi="Bookman Old Style"/>
          <w:sz w:val="28"/>
          <w:szCs w:val="28"/>
          <w:lang w:val="en-US"/>
        </w:rPr>
        <w:t>favour</w:t>
      </w:r>
      <w:proofErr w:type="spellEnd"/>
      <w:r w:rsidRPr="006305E7">
        <w:rPr>
          <w:rFonts w:ascii="Bookman Old Style" w:hAnsi="Bookman Old Style"/>
          <w:sz w:val="28"/>
          <w:szCs w:val="28"/>
          <w:lang w:val="en-US"/>
        </w:rPr>
        <w:t xml:space="preserve"> of FNB</w:t>
      </w:r>
      <w:r w:rsidR="001E1FC8">
        <w:rPr>
          <w:rFonts w:ascii="Bookman Old Style" w:hAnsi="Bookman Old Style"/>
          <w:sz w:val="28"/>
          <w:szCs w:val="28"/>
          <w:lang w:val="en-US"/>
        </w:rPr>
        <w:t xml:space="preserve"> - or at least against the wishes of the Liquidators</w:t>
      </w:r>
      <w:r w:rsidRPr="006305E7">
        <w:rPr>
          <w:rFonts w:ascii="Bookman Old Style" w:hAnsi="Bookman Old Style"/>
          <w:sz w:val="28"/>
          <w:szCs w:val="28"/>
          <w:lang w:val="en-US"/>
        </w:rPr>
        <w:t xml:space="preserve">. </w:t>
      </w:r>
      <w:r w:rsidR="00045B6D">
        <w:rPr>
          <w:rFonts w:ascii="Bookman Old Style" w:hAnsi="Bookman Old Style"/>
          <w:sz w:val="28"/>
          <w:szCs w:val="28"/>
          <w:lang w:val="en-US"/>
        </w:rPr>
        <w:t xml:space="preserve">The rulings are </w:t>
      </w:r>
      <w:proofErr w:type="spellStart"/>
      <w:r w:rsidR="0058700F">
        <w:rPr>
          <w:rFonts w:ascii="Bookman Old Style" w:hAnsi="Bookman Old Style"/>
          <w:sz w:val="28"/>
          <w:szCs w:val="28"/>
          <w:lang w:val="en-US"/>
        </w:rPr>
        <w:t>summaris</w:t>
      </w:r>
      <w:r w:rsidR="001E1FC8">
        <w:rPr>
          <w:rFonts w:ascii="Bookman Old Style" w:hAnsi="Bookman Old Style"/>
          <w:sz w:val="28"/>
          <w:szCs w:val="28"/>
          <w:lang w:val="en-US"/>
        </w:rPr>
        <w:t>ed</w:t>
      </w:r>
      <w:proofErr w:type="spellEnd"/>
      <w:r w:rsidR="001E1FC8">
        <w:rPr>
          <w:rFonts w:ascii="Bookman Old Style" w:hAnsi="Bookman Old Style"/>
          <w:sz w:val="28"/>
          <w:szCs w:val="28"/>
          <w:lang w:val="en-US"/>
        </w:rPr>
        <w:t xml:space="preserve"> by the L</w:t>
      </w:r>
      <w:r w:rsidR="00045B6D">
        <w:rPr>
          <w:rFonts w:ascii="Bookman Old Style" w:hAnsi="Bookman Old Style"/>
          <w:sz w:val="28"/>
          <w:szCs w:val="28"/>
          <w:lang w:val="en-US"/>
        </w:rPr>
        <w:t>iquidators in their founding affidavit as follows:</w:t>
      </w:r>
    </w:p>
    <w:p w14:paraId="6147CA1E" w14:textId="77777777" w:rsidR="00045B6D" w:rsidRDefault="00045B6D" w:rsidP="00045B6D">
      <w:pPr>
        <w:pStyle w:val="ListParagraph"/>
        <w:rPr>
          <w:rFonts w:ascii="Bookman Old Style" w:hAnsi="Bookman Old Style"/>
          <w:sz w:val="28"/>
          <w:szCs w:val="28"/>
          <w:lang w:val="en-US"/>
        </w:rPr>
      </w:pPr>
    </w:p>
    <w:p w14:paraId="1A21CA07" w14:textId="77777777" w:rsidR="005F4DCF" w:rsidRPr="005F4DCF" w:rsidRDefault="005F4DCF" w:rsidP="005F4DCF">
      <w:pPr>
        <w:pStyle w:val="ListParagraph"/>
        <w:spacing w:after="160" w:line="259" w:lineRule="auto"/>
        <w:ind w:left="1418" w:hanging="567"/>
        <w:jc w:val="both"/>
        <w:rPr>
          <w:rFonts w:ascii="Bookman Old Style" w:hAnsi="Bookman Old Style" w:cs="Arial"/>
        </w:rPr>
      </w:pPr>
      <w:r>
        <w:rPr>
          <w:rFonts w:ascii="Bookman Old Style" w:hAnsi="Bookman Old Style"/>
          <w:sz w:val="28"/>
          <w:szCs w:val="28"/>
          <w:lang w:val="en-US"/>
        </w:rPr>
        <w:t>‘(a)</w:t>
      </w:r>
      <w:r>
        <w:rPr>
          <w:rFonts w:ascii="Bookman Old Style" w:hAnsi="Bookman Old Style"/>
          <w:sz w:val="28"/>
          <w:szCs w:val="28"/>
          <w:lang w:val="en-US"/>
        </w:rPr>
        <w:tab/>
      </w:r>
      <w:r w:rsidRPr="005F4DCF">
        <w:rPr>
          <w:rFonts w:ascii="Bookman Old Style" w:hAnsi="Bookman Old Style" w:cs="Arial"/>
        </w:rPr>
        <w:t xml:space="preserve">That it was within the </w:t>
      </w:r>
      <w:proofErr w:type="gramStart"/>
      <w:r w:rsidRPr="005F4DCF">
        <w:rPr>
          <w:rFonts w:ascii="Bookman Old Style" w:hAnsi="Bookman Old Style" w:cs="Arial"/>
        </w:rPr>
        <w:t>Master’s</w:t>
      </w:r>
      <w:proofErr w:type="gramEnd"/>
      <w:r w:rsidRPr="005F4DCF">
        <w:rPr>
          <w:rFonts w:ascii="Bookman Old Style" w:hAnsi="Bookman Old Style" w:cs="Arial"/>
        </w:rPr>
        <w:t xml:space="preserve"> power to make the rulings in question;</w:t>
      </w:r>
    </w:p>
    <w:p w14:paraId="1D501BF4" w14:textId="77777777" w:rsidR="005F4DCF" w:rsidRPr="005F4DCF" w:rsidRDefault="005F4DCF" w:rsidP="005F4DCF">
      <w:pPr>
        <w:pStyle w:val="ListParagraph"/>
        <w:spacing w:after="160" w:line="259" w:lineRule="auto"/>
        <w:ind w:left="1418" w:hanging="567"/>
        <w:jc w:val="both"/>
        <w:rPr>
          <w:rFonts w:ascii="Bookman Old Style" w:hAnsi="Bookman Old Style" w:cs="Arial"/>
        </w:rPr>
      </w:pPr>
    </w:p>
    <w:p w14:paraId="254D15F7" w14:textId="77777777" w:rsidR="005F4DCF" w:rsidRPr="005F4DCF" w:rsidRDefault="005F4DCF" w:rsidP="005F4DCF">
      <w:pPr>
        <w:pStyle w:val="ListParagraph"/>
        <w:spacing w:after="160" w:line="259" w:lineRule="auto"/>
        <w:ind w:left="1418" w:hanging="567"/>
        <w:jc w:val="both"/>
        <w:rPr>
          <w:rFonts w:ascii="Bookman Old Style" w:hAnsi="Bookman Old Style" w:cs="Arial"/>
        </w:rPr>
      </w:pPr>
      <w:r w:rsidRPr="005F4DCF">
        <w:rPr>
          <w:rFonts w:ascii="Bookman Old Style" w:hAnsi="Bookman Old Style" w:cs="Arial"/>
        </w:rPr>
        <w:t>(b)</w:t>
      </w:r>
      <w:r w:rsidRPr="005F4DCF">
        <w:rPr>
          <w:rFonts w:ascii="Bookman Old Style" w:hAnsi="Bookman Old Style" w:cs="Arial"/>
        </w:rPr>
        <w:tab/>
        <w:t>That the applicant liquidators opted to release the FNB financed vehicles to the 5</w:t>
      </w:r>
      <w:r w:rsidRPr="005F4DCF">
        <w:rPr>
          <w:rFonts w:ascii="Bookman Old Style" w:hAnsi="Bookman Old Style" w:cs="Arial"/>
          <w:vertAlign w:val="superscript"/>
        </w:rPr>
        <w:t>th</w:t>
      </w:r>
      <w:r w:rsidRPr="005F4DCF">
        <w:rPr>
          <w:rFonts w:ascii="Bookman Old Style" w:hAnsi="Bookman Old Style" w:cs="Arial"/>
        </w:rPr>
        <w:t xml:space="preserve"> Respondent during December 2014;</w:t>
      </w:r>
    </w:p>
    <w:p w14:paraId="195072A9" w14:textId="77777777" w:rsidR="005F4DCF" w:rsidRPr="005F4DCF" w:rsidRDefault="005F4DCF" w:rsidP="005F4DCF">
      <w:pPr>
        <w:pStyle w:val="ListParagraph"/>
        <w:ind w:left="1418" w:hanging="567"/>
        <w:rPr>
          <w:rFonts w:ascii="Bookman Old Style" w:hAnsi="Bookman Old Style" w:cs="Arial"/>
        </w:rPr>
      </w:pPr>
    </w:p>
    <w:p w14:paraId="3E4B6D46" w14:textId="77777777" w:rsidR="005F4DCF" w:rsidRPr="005F4DCF" w:rsidRDefault="005F4DCF" w:rsidP="005F4DCF">
      <w:pPr>
        <w:pStyle w:val="ListParagraph"/>
        <w:spacing w:after="160" w:line="259" w:lineRule="auto"/>
        <w:ind w:left="1418" w:hanging="567"/>
        <w:jc w:val="both"/>
        <w:rPr>
          <w:rFonts w:ascii="Bookman Old Style" w:hAnsi="Bookman Old Style" w:cs="Arial"/>
        </w:rPr>
      </w:pPr>
      <w:r w:rsidRPr="005F4DCF">
        <w:rPr>
          <w:rFonts w:ascii="Bookman Old Style" w:hAnsi="Bookman Old Style" w:cs="Arial"/>
        </w:rPr>
        <w:t>(c)</w:t>
      </w:r>
      <w:r w:rsidRPr="005F4DCF">
        <w:rPr>
          <w:rFonts w:ascii="Bookman Old Style" w:hAnsi="Bookman Old Style" w:cs="Arial"/>
        </w:rPr>
        <w:tab/>
        <w:t>That the 5</w:t>
      </w:r>
      <w:r w:rsidRPr="005F4DCF">
        <w:rPr>
          <w:rFonts w:ascii="Bookman Old Style" w:hAnsi="Bookman Old Style" w:cs="Arial"/>
          <w:vertAlign w:val="superscript"/>
        </w:rPr>
        <w:t>th</w:t>
      </w:r>
      <w:r w:rsidRPr="005F4DCF">
        <w:rPr>
          <w:rFonts w:ascii="Bookman Old Style" w:hAnsi="Bookman Old Style" w:cs="Arial"/>
        </w:rPr>
        <w:t xml:space="preserve"> Respondent was, at the time of the alleged release of the FNB financed vehicles, the owner of the vehicles;</w:t>
      </w:r>
    </w:p>
    <w:p w14:paraId="6EABF2E4" w14:textId="77777777" w:rsidR="005F4DCF" w:rsidRPr="005F4DCF" w:rsidRDefault="005F4DCF" w:rsidP="005F4DCF">
      <w:pPr>
        <w:pStyle w:val="ListParagraph"/>
        <w:ind w:left="1418" w:hanging="567"/>
        <w:jc w:val="both"/>
        <w:rPr>
          <w:rFonts w:ascii="Bookman Old Style" w:hAnsi="Bookman Old Style" w:cs="Arial"/>
        </w:rPr>
      </w:pPr>
    </w:p>
    <w:p w14:paraId="5591F436" w14:textId="1F7F8CC0" w:rsidR="005F4DCF" w:rsidRPr="005F4DCF" w:rsidRDefault="005F4DCF" w:rsidP="005F4DCF">
      <w:pPr>
        <w:pStyle w:val="ListParagraph"/>
        <w:numPr>
          <w:ilvl w:val="0"/>
          <w:numId w:val="23"/>
        </w:numPr>
        <w:spacing w:after="160" w:line="259" w:lineRule="auto"/>
        <w:ind w:left="1418" w:hanging="567"/>
        <w:jc w:val="both"/>
        <w:rPr>
          <w:rFonts w:ascii="Bookman Old Style" w:hAnsi="Bookman Old Style" w:cs="Arial"/>
        </w:rPr>
      </w:pPr>
      <w:r w:rsidRPr="005F4DCF">
        <w:rPr>
          <w:rFonts w:ascii="Bookman Old Style" w:hAnsi="Bookman Old Style" w:cs="Arial"/>
        </w:rPr>
        <w:t>That the Applicant liquidators</w:t>
      </w:r>
      <w:r w:rsidR="001E1FC8">
        <w:rPr>
          <w:rFonts w:ascii="Bookman Old Style" w:hAnsi="Bookman Old Style" w:cs="Arial"/>
        </w:rPr>
        <w:t>’</w:t>
      </w:r>
      <w:r w:rsidRPr="005F4DCF">
        <w:rPr>
          <w:rFonts w:ascii="Bookman Old Style" w:hAnsi="Bookman Old Style" w:cs="Arial"/>
        </w:rPr>
        <w:t xml:space="preserve"> notice in terms of s135(10) came as an afterthought “upon realisation that they may possibly not receive any remuneration”;</w:t>
      </w:r>
    </w:p>
    <w:p w14:paraId="5B529E4C" w14:textId="77777777" w:rsidR="005F4DCF" w:rsidRPr="005F4DCF" w:rsidRDefault="005F4DCF" w:rsidP="005F4DCF">
      <w:pPr>
        <w:pStyle w:val="ListParagraph"/>
        <w:ind w:left="1418" w:hanging="567"/>
        <w:rPr>
          <w:rFonts w:ascii="Bookman Old Style" w:hAnsi="Bookman Old Style" w:cs="Arial"/>
        </w:rPr>
      </w:pPr>
    </w:p>
    <w:p w14:paraId="0B8FABEB" w14:textId="77777777" w:rsidR="005F4DCF" w:rsidRPr="005F4DCF" w:rsidRDefault="005F4DCF" w:rsidP="005F4DCF">
      <w:pPr>
        <w:pStyle w:val="ListParagraph"/>
        <w:numPr>
          <w:ilvl w:val="0"/>
          <w:numId w:val="23"/>
        </w:numPr>
        <w:spacing w:after="160" w:line="259" w:lineRule="auto"/>
        <w:ind w:left="1418" w:hanging="567"/>
        <w:jc w:val="both"/>
        <w:rPr>
          <w:rFonts w:ascii="Bookman Old Style" w:hAnsi="Bookman Old Style" w:cs="Arial"/>
        </w:rPr>
      </w:pPr>
      <w:r w:rsidRPr="005F4DCF">
        <w:rPr>
          <w:rFonts w:ascii="Bookman Old Style" w:hAnsi="Bookman Old Style" w:cs="Arial"/>
        </w:rPr>
        <w:t>That there is no reason why the FNB financed vehicles should not be realised by FNB after the liquidators have released it to them;</w:t>
      </w:r>
    </w:p>
    <w:p w14:paraId="21C315D6" w14:textId="77777777" w:rsidR="005F4DCF" w:rsidRPr="005F4DCF" w:rsidRDefault="005F4DCF" w:rsidP="005F4DCF">
      <w:pPr>
        <w:pStyle w:val="ListParagraph"/>
        <w:ind w:left="1418" w:hanging="567"/>
        <w:rPr>
          <w:rFonts w:ascii="Bookman Old Style" w:hAnsi="Bookman Old Style" w:cs="Arial"/>
        </w:rPr>
      </w:pPr>
    </w:p>
    <w:p w14:paraId="542986D0" w14:textId="77777777" w:rsidR="005F4DCF" w:rsidRPr="005F4DCF" w:rsidRDefault="005F4DCF" w:rsidP="005F4DCF">
      <w:pPr>
        <w:pStyle w:val="ListParagraph"/>
        <w:numPr>
          <w:ilvl w:val="0"/>
          <w:numId w:val="23"/>
        </w:numPr>
        <w:spacing w:after="160" w:line="259" w:lineRule="auto"/>
        <w:ind w:left="1418" w:hanging="567"/>
        <w:jc w:val="both"/>
        <w:rPr>
          <w:rFonts w:ascii="Bookman Old Style" w:hAnsi="Bookman Old Style" w:cs="Arial"/>
        </w:rPr>
      </w:pPr>
      <w:r w:rsidRPr="005F4DCF">
        <w:rPr>
          <w:rFonts w:ascii="Bookman Old Style" w:hAnsi="Bookman Old Style" w:cs="Arial"/>
        </w:rPr>
        <w:t>That if the creditor realises the FNB financed vehicles, there will be no remuneration due to the liquidators of the company in liquidation;</w:t>
      </w:r>
    </w:p>
    <w:p w14:paraId="5825ABC2" w14:textId="77777777" w:rsidR="005F4DCF" w:rsidRPr="005F4DCF" w:rsidRDefault="005F4DCF" w:rsidP="005F4DCF">
      <w:pPr>
        <w:pStyle w:val="ListParagraph"/>
        <w:ind w:left="1418" w:hanging="567"/>
        <w:rPr>
          <w:rFonts w:ascii="Bookman Old Style" w:hAnsi="Bookman Old Style" w:cs="Arial"/>
        </w:rPr>
      </w:pPr>
    </w:p>
    <w:p w14:paraId="383B1548" w14:textId="4A349FDC" w:rsidR="005F4DCF" w:rsidRPr="005F4DCF" w:rsidRDefault="005F4DCF" w:rsidP="005F4DCF">
      <w:pPr>
        <w:pStyle w:val="ListParagraph"/>
        <w:numPr>
          <w:ilvl w:val="0"/>
          <w:numId w:val="23"/>
        </w:numPr>
        <w:spacing w:after="160" w:line="259" w:lineRule="auto"/>
        <w:ind w:left="1418" w:hanging="567"/>
        <w:jc w:val="both"/>
        <w:rPr>
          <w:rFonts w:ascii="Bookman Old Style" w:hAnsi="Bookman Old Style" w:cs="Arial"/>
        </w:rPr>
      </w:pPr>
      <w:r w:rsidRPr="005F4DCF">
        <w:rPr>
          <w:rFonts w:ascii="Bookman Old Style" w:hAnsi="Bookman Old Style" w:cs="Arial"/>
        </w:rPr>
        <w:t xml:space="preserve">That it was improper for the provisional liquidators to have sought expert legal advice without </w:t>
      </w:r>
      <w:r w:rsidR="008871C8">
        <w:rPr>
          <w:rFonts w:ascii="Bookman Old Style" w:hAnsi="Bookman Old Style" w:cs="Arial"/>
        </w:rPr>
        <w:t>authorisation from the Master or</w:t>
      </w:r>
      <w:r w:rsidRPr="005F4DCF">
        <w:rPr>
          <w:rFonts w:ascii="Bookman Old Style" w:hAnsi="Bookman Old Style" w:cs="Arial"/>
        </w:rPr>
        <w:t xml:space="preserve"> creditors;</w:t>
      </w:r>
    </w:p>
    <w:p w14:paraId="4DAC42E6" w14:textId="77777777" w:rsidR="005F4DCF" w:rsidRPr="005F4DCF" w:rsidRDefault="005F4DCF" w:rsidP="005F4DCF">
      <w:pPr>
        <w:pStyle w:val="ListParagraph"/>
        <w:ind w:left="1418" w:hanging="567"/>
        <w:rPr>
          <w:rFonts w:ascii="Bookman Old Style" w:hAnsi="Bookman Old Style" w:cs="Arial"/>
        </w:rPr>
      </w:pPr>
    </w:p>
    <w:p w14:paraId="648F3FEE" w14:textId="77777777" w:rsidR="005F4DCF" w:rsidRPr="005F4DCF" w:rsidRDefault="005F4DCF" w:rsidP="005F4DCF">
      <w:pPr>
        <w:pStyle w:val="ListParagraph"/>
        <w:numPr>
          <w:ilvl w:val="0"/>
          <w:numId w:val="23"/>
        </w:numPr>
        <w:spacing w:after="160" w:line="259" w:lineRule="auto"/>
        <w:ind w:left="1418" w:hanging="567"/>
        <w:jc w:val="both"/>
        <w:rPr>
          <w:rFonts w:ascii="Bookman Old Style" w:hAnsi="Bookman Old Style" w:cs="Arial"/>
        </w:rPr>
      </w:pPr>
      <w:r w:rsidRPr="005F4DCF">
        <w:rPr>
          <w:rFonts w:ascii="Bookman Old Style" w:hAnsi="Bookman Old Style" w:cs="Arial"/>
        </w:rPr>
        <w:t xml:space="preserve">That the Applicants are provisional liquidators, not </w:t>
      </w:r>
      <w:proofErr w:type="gramStart"/>
      <w:r w:rsidRPr="005F4DCF">
        <w:rPr>
          <w:rFonts w:ascii="Bookman Old Style" w:hAnsi="Bookman Old Style" w:cs="Arial"/>
        </w:rPr>
        <w:t>liquidators’</w:t>
      </w:r>
      <w:proofErr w:type="gramEnd"/>
      <w:r w:rsidRPr="005F4DCF">
        <w:rPr>
          <w:rFonts w:ascii="Bookman Old Style" w:hAnsi="Bookman Old Style" w:cs="Arial"/>
        </w:rPr>
        <w:t>.</w:t>
      </w:r>
    </w:p>
    <w:p w14:paraId="66946726" w14:textId="77777777" w:rsidR="00045B6D" w:rsidRDefault="00045B6D" w:rsidP="00045B6D">
      <w:pPr>
        <w:tabs>
          <w:tab w:val="left" w:pos="851"/>
        </w:tabs>
        <w:spacing w:line="360" w:lineRule="auto"/>
        <w:contextualSpacing/>
        <w:jc w:val="both"/>
        <w:rPr>
          <w:rFonts w:ascii="Bookman Old Style" w:hAnsi="Bookman Old Style"/>
          <w:sz w:val="28"/>
          <w:szCs w:val="28"/>
          <w:lang w:val="en-US"/>
        </w:rPr>
      </w:pPr>
    </w:p>
    <w:p w14:paraId="664606E7" w14:textId="37CDCAA6" w:rsidR="006305E7" w:rsidRDefault="0035216B" w:rsidP="000D1B85">
      <w:pPr>
        <w:numPr>
          <w:ilvl w:val="0"/>
          <w:numId w:val="14"/>
        </w:numPr>
        <w:tabs>
          <w:tab w:val="left" w:pos="851"/>
        </w:tabs>
        <w:spacing w:line="360" w:lineRule="auto"/>
        <w:ind w:left="0" w:hanging="11"/>
        <w:contextualSpacing/>
        <w:jc w:val="both"/>
        <w:rPr>
          <w:rFonts w:ascii="Bookman Old Style" w:hAnsi="Bookman Old Style"/>
          <w:sz w:val="28"/>
          <w:szCs w:val="28"/>
          <w:lang w:val="en-US"/>
        </w:rPr>
      </w:pPr>
      <w:r w:rsidRPr="006305E7">
        <w:rPr>
          <w:rFonts w:ascii="Bookman Old Style" w:hAnsi="Bookman Old Style"/>
          <w:sz w:val="28"/>
          <w:szCs w:val="28"/>
          <w:lang w:val="en-US"/>
        </w:rPr>
        <w:t>Aggrieve</w:t>
      </w:r>
      <w:r w:rsidR="008871C8">
        <w:rPr>
          <w:rFonts w:ascii="Bookman Old Style" w:hAnsi="Bookman Old Style"/>
          <w:sz w:val="28"/>
          <w:szCs w:val="28"/>
          <w:lang w:val="en-US"/>
        </w:rPr>
        <w:t xml:space="preserve">d by the </w:t>
      </w:r>
      <w:proofErr w:type="gramStart"/>
      <w:r w:rsidR="008871C8">
        <w:rPr>
          <w:rFonts w:ascii="Bookman Old Style" w:hAnsi="Bookman Old Style"/>
          <w:sz w:val="28"/>
          <w:szCs w:val="28"/>
          <w:lang w:val="en-US"/>
        </w:rPr>
        <w:t>Master’s</w:t>
      </w:r>
      <w:proofErr w:type="gramEnd"/>
      <w:r w:rsidR="008871C8">
        <w:rPr>
          <w:rFonts w:ascii="Bookman Old Style" w:hAnsi="Bookman Old Style"/>
          <w:sz w:val="28"/>
          <w:szCs w:val="28"/>
          <w:lang w:val="en-US"/>
        </w:rPr>
        <w:t xml:space="preserve"> conduct, the L</w:t>
      </w:r>
      <w:r w:rsidRPr="006305E7">
        <w:rPr>
          <w:rFonts w:ascii="Bookman Old Style" w:hAnsi="Bookman Old Style"/>
          <w:sz w:val="28"/>
          <w:szCs w:val="28"/>
          <w:lang w:val="en-US"/>
        </w:rPr>
        <w:t xml:space="preserve">iquidators approached </w:t>
      </w:r>
      <w:r w:rsidR="00045B6D">
        <w:rPr>
          <w:rFonts w:ascii="Bookman Old Style" w:hAnsi="Bookman Old Style"/>
          <w:sz w:val="28"/>
          <w:szCs w:val="28"/>
          <w:lang w:val="en-US"/>
        </w:rPr>
        <w:t>the High Court (</w:t>
      </w:r>
      <w:r w:rsidR="008871C8">
        <w:rPr>
          <w:rFonts w:ascii="Bookman Old Style" w:hAnsi="Bookman Old Style"/>
          <w:sz w:val="28"/>
          <w:szCs w:val="28"/>
          <w:lang w:val="en-US"/>
        </w:rPr>
        <w:t>the C</w:t>
      </w:r>
      <w:r w:rsidRPr="006305E7">
        <w:rPr>
          <w:rFonts w:ascii="Bookman Old Style" w:hAnsi="Bookman Old Style"/>
          <w:sz w:val="28"/>
          <w:szCs w:val="28"/>
          <w:lang w:val="en-US"/>
        </w:rPr>
        <w:t>ourt</w:t>
      </w:r>
      <w:r w:rsidR="00045B6D">
        <w:rPr>
          <w:rFonts w:ascii="Bookman Old Style" w:hAnsi="Bookman Old Style"/>
          <w:sz w:val="28"/>
          <w:szCs w:val="28"/>
          <w:lang w:val="en-US"/>
        </w:rPr>
        <w:t>)</w:t>
      </w:r>
      <w:r w:rsidRPr="006305E7">
        <w:rPr>
          <w:rFonts w:ascii="Bookman Old Style" w:hAnsi="Bookman Old Style"/>
          <w:sz w:val="28"/>
          <w:szCs w:val="28"/>
          <w:lang w:val="en-US"/>
        </w:rPr>
        <w:t xml:space="preserve"> on an urgent basis seeking interim relief pending a review application</w:t>
      </w:r>
      <w:r w:rsidR="00CF6778" w:rsidRPr="006305E7">
        <w:rPr>
          <w:rFonts w:ascii="Bookman Old Style" w:hAnsi="Bookman Old Style"/>
          <w:sz w:val="28"/>
          <w:szCs w:val="28"/>
          <w:lang w:val="en-US"/>
        </w:rPr>
        <w:t>, challenging the Master’s ruling</w:t>
      </w:r>
      <w:r w:rsidR="008871C8">
        <w:rPr>
          <w:rFonts w:ascii="Bookman Old Style" w:hAnsi="Bookman Old Style"/>
          <w:sz w:val="28"/>
          <w:szCs w:val="28"/>
          <w:lang w:val="en-US"/>
        </w:rPr>
        <w:t>s</w:t>
      </w:r>
      <w:r w:rsidR="00CF6778" w:rsidRPr="006305E7">
        <w:rPr>
          <w:rFonts w:ascii="Bookman Old Style" w:hAnsi="Bookman Old Style"/>
          <w:sz w:val="28"/>
          <w:szCs w:val="28"/>
          <w:lang w:val="en-US"/>
        </w:rPr>
        <w:t xml:space="preserve"> and seeking a host of declaratory relief, including the following:</w:t>
      </w:r>
    </w:p>
    <w:p w14:paraId="2783AD8D" w14:textId="77777777" w:rsidR="006305E7" w:rsidRDefault="006305E7" w:rsidP="006305E7">
      <w:pPr>
        <w:pStyle w:val="ListParagraph"/>
        <w:rPr>
          <w:rFonts w:ascii="Bookman Old Style" w:hAnsi="Bookman Old Style"/>
          <w:sz w:val="28"/>
          <w:szCs w:val="28"/>
          <w:lang w:val="en-US"/>
        </w:rPr>
      </w:pPr>
    </w:p>
    <w:p w14:paraId="01A5C7B4" w14:textId="77777777" w:rsidR="006305E7" w:rsidRPr="005E608F" w:rsidRDefault="0058700F" w:rsidP="005E608F">
      <w:pPr>
        <w:pStyle w:val="ListParagraph"/>
        <w:numPr>
          <w:ilvl w:val="0"/>
          <w:numId w:val="20"/>
        </w:numPr>
        <w:spacing w:line="360" w:lineRule="auto"/>
        <w:jc w:val="both"/>
        <w:rPr>
          <w:rFonts w:ascii="Bookman Old Style" w:hAnsi="Bookman Old Style"/>
          <w:sz w:val="28"/>
          <w:szCs w:val="28"/>
          <w:lang w:val="en-US"/>
        </w:rPr>
      </w:pPr>
      <w:r>
        <w:rPr>
          <w:rFonts w:ascii="Bookman Old Style" w:hAnsi="Bookman Old Style"/>
          <w:sz w:val="28"/>
          <w:szCs w:val="28"/>
          <w:lang w:val="en-US"/>
        </w:rPr>
        <w:t>The</w:t>
      </w:r>
      <w:r w:rsidR="00045B6D">
        <w:rPr>
          <w:rFonts w:ascii="Bookman Old Style" w:hAnsi="Bookman Old Style"/>
          <w:sz w:val="28"/>
          <w:szCs w:val="28"/>
          <w:lang w:val="en-US"/>
        </w:rPr>
        <w:t xml:space="preserve"> Companies Act </w:t>
      </w:r>
      <w:r>
        <w:rPr>
          <w:rFonts w:ascii="Bookman Old Style" w:hAnsi="Bookman Old Style"/>
          <w:sz w:val="28"/>
          <w:szCs w:val="28"/>
          <w:lang w:val="en-US"/>
        </w:rPr>
        <w:t xml:space="preserve">2011 </w:t>
      </w:r>
      <w:r w:rsidR="00045B6D">
        <w:rPr>
          <w:rFonts w:ascii="Bookman Old Style" w:hAnsi="Bookman Old Style"/>
          <w:sz w:val="28"/>
          <w:szCs w:val="28"/>
          <w:lang w:val="en-US"/>
        </w:rPr>
        <w:t>(</w:t>
      </w:r>
      <w:r w:rsidR="006305E7" w:rsidRPr="005E608F">
        <w:rPr>
          <w:rFonts w:ascii="Bookman Old Style" w:hAnsi="Bookman Old Style"/>
          <w:sz w:val="28"/>
          <w:szCs w:val="28"/>
          <w:lang w:val="en-US"/>
        </w:rPr>
        <w:t>CA 2011</w:t>
      </w:r>
      <w:r w:rsidR="00045B6D">
        <w:rPr>
          <w:rFonts w:ascii="Bookman Old Style" w:hAnsi="Bookman Old Style"/>
          <w:sz w:val="28"/>
          <w:szCs w:val="28"/>
          <w:lang w:val="en-US"/>
        </w:rPr>
        <w:t>)</w:t>
      </w:r>
      <w:r w:rsidR="006305E7" w:rsidRPr="005E608F">
        <w:rPr>
          <w:rFonts w:ascii="Bookman Old Style" w:hAnsi="Bookman Old Style"/>
          <w:sz w:val="28"/>
          <w:szCs w:val="28"/>
          <w:lang w:val="en-US"/>
        </w:rPr>
        <w:t xml:space="preserve"> does not provide for or contemplate any first meeting of creditors for purposes of proof of claims and election of liquidator;</w:t>
      </w:r>
    </w:p>
    <w:p w14:paraId="4FEAF0D3" w14:textId="77777777" w:rsidR="005E608F" w:rsidRPr="005E608F" w:rsidRDefault="005E608F" w:rsidP="005E608F">
      <w:pPr>
        <w:pStyle w:val="ListParagraph"/>
        <w:spacing w:line="360" w:lineRule="auto"/>
        <w:ind w:left="1691"/>
        <w:jc w:val="both"/>
        <w:rPr>
          <w:rFonts w:ascii="Bookman Old Style" w:hAnsi="Bookman Old Style"/>
          <w:sz w:val="28"/>
          <w:szCs w:val="28"/>
          <w:lang w:val="en-US"/>
        </w:rPr>
      </w:pPr>
    </w:p>
    <w:p w14:paraId="03259D7B" w14:textId="524F2F8E" w:rsidR="005E608F" w:rsidRPr="005E608F" w:rsidRDefault="006305E7" w:rsidP="005E608F">
      <w:pPr>
        <w:pStyle w:val="ListParagraph"/>
        <w:numPr>
          <w:ilvl w:val="0"/>
          <w:numId w:val="20"/>
        </w:numPr>
        <w:spacing w:line="360" w:lineRule="auto"/>
        <w:jc w:val="both"/>
        <w:rPr>
          <w:rFonts w:ascii="Bookman Old Style" w:hAnsi="Bookman Old Style"/>
          <w:sz w:val="28"/>
          <w:szCs w:val="28"/>
          <w:lang w:val="en-US"/>
        </w:rPr>
      </w:pPr>
      <w:r w:rsidRPr="005E608F">
        <w:rPr>
          <w:rFonts w:ascii="Bookman Old Style" w:hAnsi="Bookman Old Style"/>
          <w:sz w:val="28"/>
          <w:szCs w:val="28"/>
          <w:lang w:val="en-US"/>
        </w:rPr>
        <w:t>If at any stage there is a need or request to appoint an</w:t>
      </w:r>
      <w:r w:rsidR="008871C8">
        <w:rPr>
          <w:rFonts w:ascii="Bookman Old Style" w:hAnsi="Bookman Old Style"/>
          <w:sz w:val="28"/>
          <w:szCs w:val="28"/>
          <w:lang w:val="en-US"/>
        </w:rPr>
        <w:t>y additional liquidator, the M</w:t>
      </w:r>
      <w:r w:rsidRPr="005E608F">
        <w:rPr>
          <w:rFonts w:ascii="Bookman Old Style" w:hAnsi="Bookman Old Style"/>
          <w:sz w:val="28"/>
          <w:szCs w:val="28"/>
          <w:lang w:val="en-US"/>
        </w:rPr>
        <w:t>aster may do so</w:t>
      </w:r>
      <w:r w:rsidR="008871C8">
        <w:rPr>
          <w:rFonts w:ascii="Bookman Old Style" w:hAnsi="Bookman Old Style"/>
          <w:sz w:val="28"/>
          <w:szCs w:val="28"/>
          <w:lang w:val="en-US"/>
        </w:rPr>
        <w:t>,</w:t>
      </w:r>
      <w:r w:rsidRPr="005E608F">
        <w:rPr>
          <w:rFonts w:ascii="Bookman Old Style" w:hAnsi="Bookman Old Style"/>
          <w:sz w:val="28"/>
          <w:szCs w:val="28"/>
          <w:lang w:val="en-US"/>
        </w:rPr>
        <w:t xml:space="preserve"> bearing in mind the wishes of the cre</w:t>
      </w:r>
      <w:r w:rsidR="00045B6D">
        <w:rPr>
          <w:rFonts w:ascii="Bookman Old Style" w:hAnsi="Bookman Old Style"/>
          <w:sz w:val="28"/>
          <w:szCs w:val="28"/>
          <w:lang w:val="en-US"/>
        </w:rPr>
        <w:t>ditors and any decision of the M</w:t>
      </w:r>
      <w:r w:rsidRPr="005E608F">
        <w:rPr>
          <w:rFonts w:ascii="Bookman Old Style" w:hAnsi="Bookman Old Style"/>
          <w:sz w:val="28"/>
          <w:szCs w:val="28"/>
          <w:lang w:val="en-US"/>
        </w:rPr>
        <w:t>aster in that regard may be reviewed by the Court;</w:t>
      </w:r>
    </w:p>
    <w:p w14:paraId="551739EB" w14:textId="77777777" w:rsidR="005E608F" w:rsidRPr="005E608F" w:rsidRDefault="005E608F" w:rsidP="005E608F">
      <w:pPr>
        <w:pStyle w:val="ListParagraph"/>
        <w:rPr>
          <w:rFonts w:ascii="Bookman Old Style" w:hAnsi="Bookman Old Style"/>
          <w:sz w:val="28"/>
          <w:szCs w:val="28"/>
          <w:lang w:val="en-US"/>
        </w:rPr>
      </w:pPr>
    </w:p>
    <w:p w14:paraId="7715DC17" w14:textId="77777777" w:rsidR="005E608F" w:rsidRDefault="006305E7" w:rsidP="005E608F">
      <w:pPr>
        <w:pStyle w:val="ListParagraph"/>
        <w:numPr>
          <w:ilvl w:val="0"/>
          <w:numId w:val="20"/>
        </w:numPr>
        <w:spacing w:line="360" w:lineRule="auto"/>
        <w:jc w:val="both"/>
        <w:rPr>
          <w:rFonts w:ascii="Bookman Old Style" w:hAnsi="Bookman Old Style"/>
          <w:sz w:val="28"/>
          <w:szCs w:val="28"/>
          <w:lang w:val="en-US"/>
        </w:rPr>
      </w:pPr>
      <w:r w:rsidRPr="005E608F">
        <w:rPr>
          <w:rFonts w:ascii="Bookman Old Style" w:hAnsi="Bookman Old Style"/>
          <w:sz w:val="28"/>
          <w:szCs w:val="28"/>
          <w:lang w:val="en-US"/>
        </w:rPr>
        <w:lastRenderedPageBreak/>
        <w:t>The liquidator(s)</w:t>
      </w:r>
      <w:r w:rsidR="00045B6D">
        <w:rPr>
          <w:rFonts w:ascii="Bookman Old Style" w:hAnsi="Bookman Old Style"/>
          <w:sz w:val="28"/>
          <w:szCs w:val="28"/>
          <w:lang w:val="en-US"/>
        </w:rPr>
        <w:t xml:space="preserve"> appointed by the Court or the M</w:t>
      </w:r>
      <w:r w:rsidRPr="005E608F">
        <w:rPr>
          <w:rFonts w:ascii="Bookman Old Style" w:hAnsi="Bookman Old Style"/>
          <w:sz w:val="28"/>
          <w:szCs w:val="28"/>
          <w:lang w:val="en-US"/>
        </w:rPr>
        <w:t>aster in terms of the CA 2011 are liquidators and not provisional liquidators;</w:t>
      </w:r>
    </w:p>
    <w:p w14:paraId="1CA94888" w14:textId="77777777" w:rsidR="005E608F" w:rsidRPr="005E608F" w:rsidRDefault="005E608F" w:rsidP="005E608F">
      <w:pPr>
        <w:pStyle w:val="ListParagraph"/>
        <w:rPr>
          <w:rFonts w:ascii="Bookman Old Style" w:hAnsi="Bookman Old Style"/>
          <w:sz w:val="28"/>
          <w:szCs w:val="28"/>
          <w:lang w:val="en-US"/>
        </w:rPr>
      </w:pPr>
    </w:p>
    <w:p w14:paraId="25504BB8" w14:textId="77777777" w:rsidR="005E608F" w:rsidRDefault="00045B6D" w:rsidP="005E608F">
      <w:pPr>
        <w:pStyle w:val="ListParagraph"/>
        <w:numPr>
          <w:ilvl w:val="0"/>
          <w:numId w:val="20"/>
        </w:numPr>
        <w:spacing w:line="360" w:lineRule="auto"/>
        <w:jc w:val="both"/>
        <w:rPr>
          <w:rFonts w:ascii="Bookman Old Style" w:hAnsi="Bookman Old Style"/>
          <w:sz w:val="28"/>
          <w:szCs w:val="28"/>
          <w:lang w:val="en-US"/>
        </w:rPr>
      </w:pPr>
      <w:r>
        <w:rPr>
          <w:rFonts w:ascii="Bookman Old Style" w:hAnsi="Bookman Old Style"/>
          <w:sz w:val="28"/>
          <w:szCs w:val="28"/>
          <w:lang w:val="en-US"/>
        </w:rPr>
        <w:t>Section 86 of the Insolvency P</w:t>
      </w:r>
      <w:r w:rsidR="006305E7" w:rsidRPr="005E608F">
        <w:rPr>
          <w:rFonts w:ascii="Bookman Old Style" w:hAnsi="Bookman Old Style"/>
          <w:sz w:val="28"/>
          <w:szCs w:val="28"/>
          <w:lang w:val="en-US"/>
        </w:rPr>
        <w:t xml:space="preserve">roclamation 1957 applies also when a company is liquidated. The rights of hire purchase creditors are amended in terms of s 86. The assets are then estate assets and the creditor </w:t>
      </w:r>
      <w:proofErr w:type="gramStart"/>
      <w:r w:rsidR="006305E7" w:rsidRPr="005E608F">
        <w:rPr>
          <w:rFonts w:ascii="Bookman Old Style" w:hAnsi="Bookman Old Style"/>
          <w:sz w:val="28"/>
          <w:szCs w:val="28"/>
          <w:lang w:val="en-US"/>
        </w:rPr>
        <w:t>is</w:t>
      </w:r>
      <w:proofErr w:type="gramEnd"/>
      <w:r w:rsidR="006305E7" w:rsidRPr="005E608F">
        <w:rPr>
          <w:rFonts w:ascii="Bookman Old Style" w:hAnsi="Bookman Old Style"/>
          <w:sz w:val="28"/>
          <w:szCs w:val="28"/>
          <w:lang w:val="en-US"/>
        </w:rPr>
        <w:t xml:space="preserve"> a secured creditor;</w:t>
      </w:r>
    </w:p>
    <w:p w14:paraId="1475A22B" w14:textId="77777777" w:rsidR="005E608F" w:rsidRPr="005E608F" w:rsidRDefault="005E608F" w:rsidP="005E608F">
      <w:pPr>
        <w:pStyle w:val="ListParagraph"/>
        <w:rPr>
          <w:rFonts w:ascii="Bookman Old Style" w:hAnsi="Bookman Old Style"/>
          <w:sz w:val="28"/>
          <w:szCs w:val="28"/>
          <w:lang w:val="en-US"/>
        </w:rPr>
      </w:pPr>
    </w:p>
    <w:p w14:paraId="7FDB1AAB" w14:textId="7CE07B34" w:rsidR="005E608F" w:rsidRDefault="006305E7" w:rsidP="005E608F">
      <w:pPr>
        <w:pStyle w:val="ListParagraph"/>
        <w:numPr>
          <w:ilvl w:val="0"/>
          <w:numId w:val="20"/>
        </w:numPr>
        <w:spacing w:line="360" w:lineRule="auto"/>
        <w:jc w:val="both"/>
        <w:rPr>
          <w:rFonts w:ascii="Bookman Old Style" w:hAnsi="Bookman Old Style"/>
          <w:sz w:val="28"/>
          <w:szCs w:val="28"/>
          <w:lang w:val="en-US"/>
        </w:rPr>
      </w:pPr>
      <w:r w:rsidRPr="005E608F">
        <w:rPr>
          <w:rFonts w:ascii="Bookman Old Style" w:hAnsi="Bookman Old Style"/>
          <w:sz w:val="28"/>
          <w:szCs w:val="28"/>
          <w:lang w:val="en-US"/>
        </w:rPr>
        <w:t xml:space="preserve">Liquidators are entitled to remuneration on the sale of security assets, even if they should be sold by the creditor </w:t>
      </w:r>
      <w:r w:rsidR="008871C8">
        <w:rPr>
          <w:rFonts w:ascii="Bookman Old Style" w:hAnsi="Bookman Old Style"/>
          <w:sz w:val="28"/>
          <w:szCs w:val="28"/>
          <w:lang w:val="en-US"/>
        </w:rPr>
        <w:t>‘</w:t>
      </w:r>
      <w:r w:rsidRPr="005E608F">
        <w:rPr>
          <w:rFonts w:ascii="Bookman Old Style" w:hAnsi="Bookman Old Style"/>
          <w:sz w:val="28"/>
          <w:szCs w:val="28"/>
          <w:lang w:val="en-US"/>
        </w:rPr>
        <w:t>if entitled</w:t>
      </w:r>
      <w:r w:rsidR="008871C8">
        <w:rPr>
          <w:rFonts w:ascii="Bookman Old Style" w:hAnsi="Bookman Old Style"/>
          <w:sz w:val="28"/>
          <w:szCs w:val="28"/>
          <w:lang w:val="en-US"/>
        </w:rPr>
        <w:t>’</w:t>
      </w:r>
      <w:r w:rsidRPr="005E608F">
        <w:rPr>
          <w:rFonts w:ascii="Bookman Old Style" w:hAnsi="Bookman Old Style"/>
          <w:sz w:val="28"/>
          <w:szCs w:val="28"/>
          <w:lang w:val="en-US"/>
        </w:rPr>
        <w:t xml:space="preserve"> to sell;</w:t>
      </w:r>
    </w:p>
    <w:p w14:paraId="139B042A" w14:textId="77777777" w:rsidR="005E608F" w:rsidRPr="005E608F" w:rsidRDefault="005E608F" w:rsidP="005E608F">
      <w:pPr>
        <w:pStyle w:val="ListParagraph"/>
        <w:rPr>
          <w:rFonts w:ascii="Bookman Old Style" w:hAnsi="Bookman Old Style"/>
          <w:sz w:val="28"/>
          <w:szCs w:val="28"/>
          <w:lang w:val="en-US"/>
        </w:rPr>
      </w:pPr>
    </w:p>
    <w:p w14:paraId="3CFB846B" w14:textId="77777777" w:rsidR="006305E7" w:rsidRPr="005E608F" w:rsidRDefault="006305E7" w:rsidP="005E608F">
      <w:pPr>
        <w:pStyle w:val="ListParagraph"/>
        <w:numPr>
          <w:ilvl w:val="0"/>
          <w:numId w:val="20"/>
        </w:numPr>
        <w:spacing w:line="360" w:lineRule="auto"/>
        <w:jc w:val="both"/>
        <w:rPr>
          <w:rFonts w:ascii="Bookman Old Style" w:hAnsi="Bookman Old Style"/>
          <w:sz w:val="28"/>
          <w:szCs w:val="28"/>
          <w:lang w:val="en-US"/>
        </w:rPr>
      </w:pPr>
      <w:r w:rsidRPr="005E608F">
        <w:rPr>
          <w:rFonts w:ascii="Bookman Old Style" w:hAnsi="Bookman Old Style"/>
          <w:sz w:val="28"/>
          <w:szCs w:val="28"/>
          <w:lang w:val="en-US"/>
        </w:rPr>
        <w:t>Liquidators have the right to take expert legal advice without prior authorization of the Master or creditors.</w:t>
      </w:r>
    </w:p>
    <w:p w14:paraId="1813C973" w14:textId="77777777" w:rsidR="006305E7" w:rsidRDefault="006305E7" w:rsidP="006305E7">
      <w:pPr>
        <w:tabs>
          <w:tab w:val="left" w:pos="851"/>
        </w:tabs>
        <w:spacing w:line="360" w:lineRule="auto"/>
        <w:contextualSpacing/>
        <w:jc w:val="both"/>
        <w:rPr>
          <w:rFonts w:ascii="Bookman Old Style" w:hAnsi="Bookman Old Style"/>
          <w:sz w:val="28"/>
          <w:szCs w:val="28"/>
          <w:lang w:val="en-US"/>
        </w:rPr>
      </w:pPr>
    </w:p>
    <w:p w14:paraId="4A240CAE" w14:textId="77777777" w:rsidR="006305E7" w:rsidRDefault="004E4D20" w:rsidP="000D1B85">
      <w:pPr>
        <w:numPr>
          <w:ilvl w:val="0"/>
          <w:numId w:val="14"/>
        </w:numPr>
        <w:tabs>
          <w:tab w:val="left" w:pos="851"/>
        </w:tabs>
        <w:spacing w:line="360" w:lineRule="auto"/>
        <w:ind w:left="0" w:hanging="11"/>
        <w:contextualSpacing/>
        <w:jc w:val="both"/>
        <w:rPr>
          <w:rFonts w:ascii="Bookman Old Style" w:hAnsi="Bookman Old Style"/>
          <w:sz w:val="28"/>
          <w:szCs w:val="28"/>
          <w:lang w:val="en-US"/>
        </w:rPr>
      </w:pPr>
      <w:r w:rsidRPr="006305E7">
        <w:rPr>
          <w:rFonts w:ascii="Bookman Old Style" w:hAnsi="Bookman Old Style"/>
          <w:sz w:val="28"/>
          <w:szCs w:val="28"/>
          <w:lang w:val="en-US"/>
        </w:rPr>
        <w:t xml:space="preserve">The application was opposed and </w:t>
      </w:r>
      <w:proofErr w:type="gramStart"/>
      <w:r w:rsidRPr="006305E7">
        <w:rPr>
          <w:rFonts w:ascii="Bookman Old Style" w:hAnsi="Bookman Old Style"/>
          <w:sz w:val="28"/>
          <w:szCs w:val="28"/>
          <w:lang w:val="en-US"/>
        </w:rPr>
        <w:t>during the course of</w:t>
      </w:r>
      <w:proofErr w:type="gramEnd"/>
      <w:r w:rsidRPr="006305E7">
        <w:rPr>
          <w:rFonts w:ascii="Bookman Old Style" w:hAnsi="Bookman Old Style"/>
          <w:sz w:val="28"/>
          <w:szCs w:val="28"/>
          <w:lang w:val="en-US"/>
        </w:rPr>
        <w:t xml:space="preserve"> exchange of pleadings, </w:t>
      </w:r>
      <w:r w:rsidR="00741F32" w:rsidRPr="006305E7">
        <w:rPr>
          <w:rFonts w:ascii="Bookman Old Style" w:hAnsi="Bookman Old Style"/>
          <w:sz w:val="28"/>
          <w:szCs w:val="28"/>
          <w:lang w:val="en-US"/>
        </w:rPr>
        <w:t>the 6</w:t>
      </w:r>
      <w:r w:rsidR="00741F32" w:rsidRPr="006305E7">
        <w:rPr>
          <w:rFonts w:ascii="Bookman Old Style" w:hAnsi="Bookman Old Style"/>
          <w:sz w:val="28"/>
          <w:szCs w:val="28"/>
          <w:vertAlign w:val="superscript"/>
          <w:lang w:val="en-US"/>
        </w:rPr>
        <w:t>th</w:t>
      </w:r>
      <w:r w:rsidR="00741F32" w:rsidRPr="006305E7">
        <w:rPr>
          <w:rFonts w:ascii="Bookman Old Style" w:hAnsi="Bookman Old Style"/>
          <w:sz w:val="28"/>
          <w:szCs w:val="28"/>
          <w:lang w:val="en-US"/>
        </w:rPr>
        <w:t xml:space="preserve"> respondent, </w:t>
      </w:r>
      <w:r w:rsidRPr="006305E7">
        <w:rPr>
          <w:rFonts w:ascii="Bookman Old Style" w:hAnsi="Bookman Old Style"/>
          <w:sz w:val="28"/>
          <w:szCs w:val="28"/>
          <w:lang w:val="en-US"/>
        </w:rPr>
        <w:t xml:space="preserve">Standard </w:t>
      </w:r>
      <w:r w:rsidR="00741F32" w:rsidRPr="006305E7">
        <w:rPr>
          <w:rFonts w:ascii="Bookman Old Style" w:hAnsi="Bookman Old Style"/>
          <w:sz w:val="28"/>
          <w:szCs w:val="28"/>
          <w:lang w:val="en-US"/>
        </w:rPr>
        <w:t>B</w:t>
      </w:r>
      <w:r w:rsidRPr="006305E7">
        <w:rPr>
          <w:rFonts w:ascii="Bookman Old Style" w:hAnsi="Bookman Old Style"/>
          <w:sz w:val="28"/>
          <w:szCs w:val="28"/>
          <w:lang w:val="en-US"/>
        </w:rPr>
        <w:t>ank</w:t>
      </w:r>
      <w:r w:rsidR="00741F32" w:rsidRPr="006305E7">
        <w:rPr>
          <w:rFonts w:ascii="Bookman Old Style" w:hAnsi="Bookman Old Style"/>
          <w:sz w:val="28"/>
          <w:szCs w:val="28"/>
          <w:lang w:val="en-US"/>
        </w:rPr>
        <w:t>,</w:t>
      </w:r>
      <w:r w:rsidRPr="006305E7">
        <w:rPr>
          <w:rFonts w:ascii="Bookman Old Style" w:hAnsi="Bookman Old Style"/>
          <w:sz w:val="28"/>
          <w:szCs w:val="28"/>
          <w:lang w:val="en-US"/>
        </w:rPr>
        <w:t xml:space="preserve"> with leave of the court joined </w:t>
      </w:r>
      <w:r w:rsidR="00741F32" w:rsidRPr="006305E7">
        <w:rPr>
          <w:rFonts w:ascii="Bookman Old Style" w:hAnsi="Bookman Old Style"/>
          <w:sz w:val="28"/>
          <w:szCs w:val="28"/>
          <w:lang w:val="en-US"/>
        </w:rPr>
        <w:t xml:space="preserve">the </w:t>
      </w:r>
      <w:r w:rsidRPr="006305E7">
        <w:rPr>
          <w:rFonts w:ascii="Bookman Old Style" w:hAnsi="Bookman Old Style"/>
          <w:sz w:val="28"/>
          <w:szCs w:val="28"/>
          <w:lang w:val="en-US"/>
        </w:rPr>
        <w:t xml:space="preserve">proceedings, </w:t>
      </w:r>
      <w:r w:rsidR="00741F32" w:rsidRPr="006305E7">
        <w:rPr>
          <w:rFonts w:ascii="Bookman Old Style" w:hAnsi="Bookman Old Style"/>
          <w:sz w:val="28"/>
          <w:szCs w:val="28"/>
          <w:lang w:val="en-US"/>
        </w:rPr>
        <w:t xml:space="preserve">and </w:t>
      </w:r>
      <w:r w:rsidRPr="006305E7">
        <w:rPr>
          <w:rFonts w:ascii="Bookman Old Style" w:hAnsi="Bookman Old Style"/>
          <w:sz w:val="28"/>
          <w:szCs w:val="28"/>
          <w:lang w:val="en-US"/>
        </w:rPr>
        <w:t>ma</w:t>
      </w:r>
      <w:r w:rsidR="00741F32" w:rsidRPr="006305E7">
        <w:rPr>
          <w:rFonts w:ascii="Bookman Old Style" w:hAnsi="Bookman Old Style"/>
          <w:sz w:val="28"/>
          <w:szCs w:val="28"/>
          <w:lang w:val="en-US"/>
        </w:rPr>
        <w:t xml:space="preserve">de </w:t>
      </w:r>
      <w:r w:rsidRPr="006305E7">
        <w:rPr>
          <w:rFonts w:ascii="Bookman Old Style" w:hAnsi="Bookman Old Style"/>
          <w:sz w:val="28"/>
          <w:szCs w:val="28"/>
          <w:lang w:val="en-US"/>
        </w:rPr>
        <w:t xml:space="preserve">common cause with FNB as it was similarly situated in respect of assets sold to </w:t>
      </w:r>
      <w:proofErr w:type="spellStart"/>
      <w:r w:rsidRPr="006305E7">
        <w:rPr>
          <w:rFonts w:ascii="Bookman Old Style" w:hAnsi="Bookman Old Style"/>
          <w:sz w:val="28"/>
          <w:szCs w:val="28"/>
          <w:lang w:val="en-US"/>
        </w:rPr>
        <w:t>Thotonyana</w:t>
      </w:r>
      <w:proofErr w:type="spellEnd"/>
      <w:r w:rsidRPr="006305E7">
        <w:rPr>
          <w:rFonts w:ascii="Bookman Old Style" w:hAnsi="Bookman Old Style"/>
          <w:sz w:val="28"/>
          <w:szCs w:val="28"/>
          <w:lang w:val="en-US"/>
        </w:rPr>
        <w:t xml:space="preserve"> on hire-purchase.</w:t>
      </w:r>
    </w:p>
    <w:p w14:paraId="6407491F" w14:textId="77777777" w:rsidR="006305E7" w:rsidRDefault="006305E7" w:rsidP="006305E7">
      <w:pPr>
        <w:tabs>
          <w:tab w:val="left" w:pos="851"/>
        </w:tabs>
        <w:spacing w:line="360" w:lineRule="auto"/>
        <w:contextualSpacing/>
        <w:jc w:val="both"/>
        <w:rPr>
          <w:rFonts w:ascii="Bookman Old Style" w:hAnsi="Bookman Old Style"/>
          <w:sz w:val="28"/>
          <w:szCs w:val="28"/>
          <w:lang w:val="en-US"/>
        </w:rPr>
      </w:pPr>
    </w:p>
    <w:p w14:paraId="068D2945" w14:textId="491A18FE" w:rsidR="006305E7" w:rsidRDefault="00045B6D" w:rsidP="000D1B85">
      <w:pPr>
        <w:numPr>
          <w:ilvl w:val="0"/>
          <w:numId w:val="14"/>
        </w:numPr>
        <w:tabs>
          <w:tab w:val="left" w:pos="851"/>
        </w:tabs>
        <w:spacing w:line="360" w:lineRule="auto"/>
        <w:ind w:left="0" w:hanging="11"/>
        <w:contextualSpacing/>
        <w:jc w:val="both"/>
        <w:rPr>
          <w:rFonts w:ascii="Bookman Old Style" w:hAnsi="Bookman Old Style"/>
          <w:sz w:val="28"/>
          <w:szCs w:val="28"/>
          <w:lang w:val="en-US"/>
        </w:rPr>
      </w:pPr>
      <w:r>
        <w:rPr>
          <w:rFonts w:ascii="Bookman Old Style" w:hAnsi="Bookman Old Style"/>
          <w:sz w:val="28"/>
          <w:szCs w:val="28"/>
          <w:lang w:val="en-US"/>
        </w:rPr>
        <w:t xml:space="preserve">In his </w:t>
      </w:r>
      <w:r w:rsidR="008871C8">
        <w:rPr>
          <w:rFonts w:ascii="Bookman Old Style" w:hAnsi="Bookman Old Style"/>
          <w:sz w:val="28"/>
          <w:szCs w:val="28"/>
          <w:lang w:val="en-US"/>
        </w:rPr>
        <w:t xml:space="preserve">written reasons handed down </w:t>
      </w:r>
      <w:r>
        <w:rPr>
          <w:rFonts w:ascii="Bookman Old Style" w:hAnsi="Bookman Old Style"/>
          <w:sz w:val="28"/>
          <w:szCs w:val="28"/>
          <w:lang w:val="en-US"/>
        </w:rPr>
        <w:t xml:space="preserve">after hearing the parties, </w:t>
      </w:r>
      <w:proofErr w:type="spellStart"/>
      <w:r w:rsidR="00F10FD1" w:rsidRPr="006305E7">
        <w:rPr>
          <w:rFonts w:ascii="Bookman Old Style" w:hAnsi="Bookman Old Style"/>
          <w:sz w:val="28"/>
          <w:szCs w:val="28"/>
          <w:lang w:val="en-US"/>
        </w:rPr>
        <w:t>Molete</w:t>
      </w:r>
      <w:proofErr w:type="spellEnd"/>
      <w:r w:rsidR="00F10FD1" w:rsidRPr="006305E7">
        <w:rPr>
          <w:rFonts w:ascii="Bookman Old Style" w:hAnsi="Bookman Old Style"/>
          <w:sz w:val="28"/>
          <w:szCs w:val="28"/>
          <w:lang w:val="en-US"/>
        </w:rPr>
        <w:t xml:space="preserve"> J set out the issues he was called upon to decide as follows: </w:t>
      </w:r>
    </w:p>
    <w:p w14:paraId="7074EAF8" w14:textId="77777777" w:rsidR="006305E7" w:rsidRDefault="006305E7" w:rsidP="006305E7">
      <w:pPr>
        <w:pStyle w:val="ListParagraph"/>
        <w:rPr>
          <w:rFonts w:ascii="Bookman Old Style" w:hAnsi="Bookman Old Style"/>
          <w:sz w:val="28"/>
          <w:szCs w:val="28"/>
          <w:lang w:val="en-US"/>
        </w:rPr>
      </w:pPr>
    </w:p>
    <w:p w14:paraId="5067210E" w14:textId="77777777" w:rsidR="006305E7" w:rsidRDefault="006305E7" w:rsidP="00910F1A">
      <w:pPr>
        <w:pStyle w:val="ListParagraph"/>
        <w:numPr>
          <w:ilvl w:val="0"/>
          <w:numId w:val="1"/>
        </w:numPr>
        <w:spacing w:line="360" w:lineRule="auto"/>
        <w:ind w:left="1418" w:hanging="567"/>
        <w:jc w:val="both"/>
        <w:rPr>
          <w:rFonts w:ascii="Bookman Old Style" w:hAnsi="Bookman Old Style"/>
          <w:sz w:val="28"/>
          <w:szCs w:val="28"/>
          <w:lang w:val="en-US"/>
        </w:rPr>
      </w:pPr>
      <w:r>
        <w:rPr>
          <w:rFonts w:ascii="Bookman Old Style" w:hAnsi="Bookman Old Style"/>
          <w:sz w:val="28"/>
          <w:szCs w:val="28"/>
          <w:lang w:val="en-US"/>
        </w:rPr>
        <w:t xml:space="preserve">Whether the CA 2011 provides for the appointment of a provisional liquidator and whether that Act </w:t>
      </w:r>
      <w:r>
        <w:rPr>
          <w:rFonts w:ascii="Bookman Old Style" w:hAnsi="Bookman Old Style"/>
          <w:sz w:val="28"/>
          <w:szCs w:val="28"/>
          <w:lang w:val="en-US"/>
        </w:rPr>
        <w:lastRenderedPageBreak/>
        <w:t>contemplates any first meeting of creditors for the purpose of proof of claims and election of a liquidator?</w:t>
      </w:r>
    </w:p>
    <w:p w14:paraId="1F6C04C2" w14:textId="77777777" w:rsidR="005E608F" w:rsidRDefault="005E608F" w:rsidP="00910F1A">
      <w:pPr>
        <w:pStyle w:val="ListParagraph"/>
        <w:spacing w:line="360" w:lineRule="auto"/>
        <w:ind w:left="1560" w:hanging="709"/>
        <w:jc w:val="both"/>
        <w:rPr>
          <w:rFonts w:ascii="Bookman Old Style" w:hAnsi="Bookman Old Style"/>
          <w:sz w:val="28"/>
          <w:szCs w:val="28"/>
          <w:lang w:val="en-US"/>
        </w:rPr>
      </w:pPr>
    </w:p>
    <w:p w14:paraId="0DFF44D2" w14:textId="27CA27AC" w:rsidR="006305E7" w:rsidRDefault="006305E7" w:rsidP="00910F1A">
      <w:pPr>
        <w:pStyle w:val="ListParagraph"/>
        <w:numPr>
          <w:ilvl w:val="0"/>
          <w:numId w:val="1"/>
        </w:numPr>
        <w:spacing w:line="360" w:lineRule="auto"/>
        <w:ind w:left="1418" w:hanging="567"/>
        <w:jc w:val="both"/>
        <w:rPr>
          <w:rFonts w:ascii="Bookman Old Style" w:hAnsi="Bookman Old Style"/>
          <w:sz w:val="28"/>
          <w:szCs w:val="28"/>
          <w:lang w:val="en-US"/>
        </w:rPr>
      </w:pPr>
      <w:r>
        <w:rPr>
          <w:rFonts w:ascii="Bookman Old Style" w:hAnsi="Bookman Old Style"/>
          <w:sz w:val="28"/>
          <w:szCs w:val="28"/>
          <w:lang w:val="en-US"/>
        </w:rPr>
        <w:t xml:space="preserve">Whether s 86 of the Insolvency Proclamation 1957 has the effect of ‘amending’ the rights of hire-purchase creditors such that the hire-purchased property become estate property and the hire-purchase creditor becomes a secured </w:t>
      </w:r>
      <w:proofErr w:type="gramStart"/>
      <w:r>
        <w:rPr>
          <w:rFonts w:ascii="Bookman Old Style" w:hAnsi="Bookman Old Style"/>
          <w:sz w:val="28"/>
          <w:szCs w:val="28"/>
          <w:lang w:val="en-US"/>
        </w:rPr>
        <w:t>creditor</w:t>
      </w:r>
      <w:r w:rsidR="008871C8">
        <w:rPr>
          <w:rFonts w:ascii="Bookman Old Style" w:hAnsi="Bookman Old Style"/>
          <w:sz w:val="28"/>
          <w:szCs w:val="28"/>
          <w:lang w:val="en-US"/>
        </w:rPr>
        <w:t>?</w:t>
      </w:r>
      <w:r>
        <w:rPr>
          <w:rFonts w:ascii="Bookman Old Style" w:hAnsi="Bookman Old Style"/>
          <w:sz w:val="28"/>
          <w:szCs w:val="28"/>
          <w:lang w:val="en-US"/>
        </w:rPr>
        <w:t>;</w:t>
      </w:r>
      <w:proofErr w:type="gramEnd"/>
    </w:p>
    <w:p w14:paraId="14FFE490" w14:textId="77777777" w:rsidR="005E608F" w:rsidRPr="005E608F" w:rsidRDefault="005E608F" w:rsidP="00910F1A">
      <w:pPr>
        <w:spacing w:line="360" w:lineRule="auto"/>
        <w:ind w:left="1560" w:hanging="709"/>
        <w:jc w:val="both"/>
        <w:rPr>
          <w:rFonts w:ascii="Bookman Old Style" w:hAnsi="Bookman Old Style"/>
          <w:sz w:val="28"/>
          <w:szCs w:val="28"/>
          <w:lang w:val="en-US"/>
        </w:rPr>
      </w:pPr>
    </w:p>
    <w:p w14:paraId="37F02B99" w14:textId="1C1C68BC" w:rsidR="006305E7" w:rsidRDefault="008871C8" w:rsidP="00910F1A">
      <w:pPr>
        <w:pStyle w:val="ListParagraph"/>
        <w:numPr>
          <w:ilvl w:val="0"/>
          <w:numId w:val="1"/>
        </w:numPr>
        <w:spacing w:line="360" w:lineRule="auto"/>
        <w:ind w:left="1418" w:hanging="567"/>
        <w:jc w:val="both"/>
        <w:rPr>
          <w:rFonts w:ascii="Bookman Old Style" w:hAnsi="Bookman Old Style"/>
          <w:sz w:val="28"/>
          <w:szCs w:val="28"/>
          <w:lang w:val="en-US"/>
        </w:rPr>
      </w:pPr>
      <w:r>
        <w:rPr>
          <w:rFonts w:ascii="Bookman Old Style" w:hAnsi="Bookman Old Style"/>
          <w:sz w:val="28"/>
          <w:szCs w:val="28"/>
          <w:lang w:val="en-US"/>
        </w:rPr>
        <w:t>Whether the L</w:t>
      </w:r>
      <w:r w:rsidR="006305E7">
        <w:rPr>
          <w:rFonts w:ascii="Bookman Old Style" w:hAnsi="Bookman Old Style"/>
          <w:sz w:val="28"/>
          <w:szCs w:val="28"/>
          <w:lang w:val="en-US"/>
        </w:rPr>
        <w:t>iquidators are entitled to remuneration on the sale of secured assets even if sold by the creditor, assuming the creditor is entitled to sell?</w:t>
      </w:r>
    </w:p>
    <w:p w14:paraId="13C56AC5" w14:textId="77777777" w:rsidR="005E608F" w:rsidRPr="005E608F" w:rsidRDefault="005E608F" w:rsidP="00910F1A">
      <w:pPr>
        <w:spacing w:line="360" w:lineRule="auto"/>
        <w:ind w:left="1560" w:hanging="709"/>
        <w:jc w:val="both"/>
        <w:rPr>
          <w:rFonts w:ascii="Bookman Old Style" w:hAnsi="Bookman Old Style"/>
          <w:sz w:val="28"/>
          <w:szCs w:val="28"/>
          <w:lang w:val="en-US"/>
        </w:rPr>
      </w:pPr>
    </w:p>
    <w:p w14:paraId="179DC768" w14:textId="55333020" w:rsidR="006305E7" w:rsidRDefault="008871C8" w:rsidP="00910F1A">
      <w:pPr>
        <w:pStyle w:val="ListParagraph"/>
        <w:numPr>
          <w:ilvl w:val="0"/>
          <w:numId w:val="1"/>
        </w:numPr>
        <w:spacing w:line="360" w:lineRule="auto"/>
        <w:ind w:left="1418" w:hanging="567"/>
        <w:jc w:val="both"/>
        <w:rPr>
          <w:rFonts w:ascii="Bookman Old Style" w:hAnsi="Bookman Old Style"/>
          <w:sz w:val="28"/>
          <w:szCs w:val="28"/>
          <w:lang w:val="en-US"/>
        </w:rPr>
      </w:pPr>
      <w:r>
        <w:rPr>
          <w:rFonts w:ascii="Bookman Old Style" w:hAnsi="Bookman Old Style"/>
          <w:sz w:val="28"/>
          <w:szCs w:val="28"/>
          <w:lang w:val="en-US"/>
        </w:rPr>
        <w:t>Whether the L</w:t>
      </w:r>
      <w:r w:rsidR="006305E7" w:rsidRPr="00903394">
        <w:rPr>
          <w:rFonts w:ascii="Bookman Old Style" w:hAnsi="Bookman Old Style"/>
          <w:sz w:val="28"/>
          <w:szCs w:val="28"/>
          <w:lang w:val="en-US"/>
        </w:rPr>
        <w:t>iquidators have the right to seek legal advic</w:t>
      </w:r>
      <w:r w:rsidR="008C1BB2">
        <w:rPr>
          <w:rFonts w:ascii="Bookman Old Style" w:hAnsi="Bookman Old Style"/>
          <w:sz w:val="28"/>
          <w:szCs w:val="28"/>
          <w:lang w:val="en-US"/>
        </w:rPr>
        <w:t xml:space="preserve">e without the </w:t>
      </w:r>
      <w:proofErr w:type="spellStart"/>
      <w:r w:rsidR="008C1BB2">
        <w:rPr>
          <w:rFonts w:ascii="Bookman Old Style" w:hAnsi="Bookman Old Style"/>
          <w:sz w:val="28"/>
          <w:szCs w:val="28"/>
          <w:lang w:val="en-US"/>
        </w:rPr>
        <w:t>authoris</w:t>
      </w:r>
      <w:r w:rsidR="006305E7" w:rsidRPr="00903394">
        <w:rPr>
          <w:rFonts w:ascii="Bookman Old Style" w:hAnsi="Bookman Old Style"/>
          <w:sz w:val="28"/>
          <w:szCs w:val="28"/>
          <w:lang w:val="en-US"/>
        </w:rPr>
        <w:t>ation</w:t>
      </w:r>
      <w:proofErr w:type="spellEnd"/>
      <w:r w:rsidR="006305E7" w:rsidRPr="00903394">
        <w:rPr>
          <w:rFonts w:ascii="Bookman Old Style" w:hAnsi="Bookman Old Style"/>
          <w:sz w:val="28"/>
          <w:szCs w:val="28"/>
          <w:lang w:val="en-US"/>
        </w:rPr>
        <w:t xml:space="preserve"> of the Master</w:t>
      </w:r>
      <w:r>
        <w:rPr>
          <w:rFonts w:ascii="Bookman Old Style" w:hAnsi="Bookman Old Style"/>
          <w:sz w:val="28"/>
          <w:szCs w:val="28"/>
          <w:lang w:val="en-US"/>
        </w:rPr>
        <w:t>?</w:t>
      </w:r>
      <w:r w:rsidR="006305E7" w:rsidRPr="00903394">
        <w:rPr>
          <w:rFonts w:ascii="Bookman Old Style" w:hAnsi="Bookman Old Style"/>
          <w:sz w:val="28"/>
          <w:szCs w:val="28"/>
          <w:lang w:val="en-US"/>
        </w:rPr>
        <w:t xml:space="preserve"> </w:t>
      </w:r>
    </w:p>
    <w:p w14:paraId="1AF7B155" w14:textId="77777777" w:rsidR="006305E7" w:rsidRDefault="006305E7" w:rsidP="00910F1A">
      <w:pPr>
        <w:tabs>
          <w:tab w:val="left" w:pos="851"/>
        </w:tabs>
        <w:spacing w:line="360" w:lineRule="auto"/>
        <w:ind w:left="1560" w:hanging="709"/>
        <w:contextualSpacing/>
        <w:jc w:val="both"/>
        <w:rPr>
          <w:rFonts w:ascii="Bookman Old Style" w:hAnsi="Bookman Old Style"/>
          <w:sz w:val="28"/>
          <w:szCs w:val="28"/>
          <w:lang w:val="en-US"/>
        </w:rPr>
      </w:pPr>
    </w:p>
    <w:p w14:paraId="2B5AC779" w14:textId="77777777" w:rsidR="006305E7" w:rsidRDefault="00A71ABE" w:rsidP="00910F1A">
      <w:pPr>
        <w:numPr>
          <w:ilvl w:val="0"/>
          <w:numId w:val="14"/>
        </w:numPr>
        <w:tabs>
          <w:tab w:val="left" w:pos="851"/>
        </w:tabs>
        <w:spacing w:line="360" w:lineRule="auto"/>
        <w:ind w:left="0" w:hanging="11"/>
        <w:contextualSpacing/>
        <w:jc w:val="both"/>
        <w:rPr>
          <w:rFonts w:ascii="Bookman Old Style" w:hAnsi="Bookman Old Style"/>
          <w:sz w:val="28"/>
          <w:szCs w:val="28"/>
          <w:lang w:val="en-US"/>
        </w:rPr>
      </w:pPr>
      <w:r w:rsidRPr="006305E7">
        <w:rPr>
          <w:rFonts w:ascii="Bookman Old Style" w:hAnsi="Bookman Old Style"/>
          <w:sz w:val="28"/>
          <w:szCs w:val="28"/>
          <w:lang w:val="en-US"/>
        </w:rPr>
        <w:t xml:space="preserve">After hearing the parties, </w:t>
      </w:r>
      <w:proofErr w:type="spellStart"/>
      <w:r w:rsidR="00045B6D">
        <w:rPr>
          <w:rFonts w:ascii="Bookman Old Style" w:hAnsi="Bookman Old Style"/>
          <w:sz w:val="28"/>
          <w:szCs w:val="28"/>
          <w:lang w:val="en-US"/>
        </w:rPr>
        <w:t>Molete</w:t>
      </w:r>
      <w:proofErr w:type="spellEnd"/>
      <w:r w:rsidR="00045B6D">
        <w:rPr>
          <w:rFonts w:ascii="Bookman Old Style" w:hAnsi="Bookman Old Style"/>
          <w:sz w:val="28"/>
          <w:szCs w:val="28"/>
          <w:lang w:val="en-US"/>
        </w:rPr>
        <w:t xml:space="preserve"> J</w:t>
      </w:r>
      <w:r w:rsidR="004E4D20" w:rsidRPr="006305E7">
        <w:rPr>
          <w:rFonts w:ascii="Bookman Old Style" w:hAnsi="Bookman Old Style"/>
          <w:sz w:val="28"/>
          <w:szCs w:val="28"/>
          <w:lang w:val="en-US"/>
        </w:rPr>
        <w:t>, on 19 March 2019,</w:t>
      </w:r>
      <w:r w:rsidRPr="006305E7">
        <w:rPr>
          <w:rFonts w:ascii="Bookman Old Style" w:hAnsi="Bookman Old Style"/>
          <w:sz w:val="28"/>
          <w:szCs w:val="28"/>
          <w:lang w:val="en-US"/>
        </w:rPr>
        <w:t xml:space="preserve"> made an order in the following terms:</w:t>
      </w:r>
    </w:p>
    <w:p w14:paraId="54A32C45" w14:textId="77777777" w:rsidR="006305E7" w:rsidRDefault="006305E7" w:rsidP="006305E7">
      <w:pPr>
        <w:tabs>
          <w:tab w:val="left" w:pos="851"/>
        </w:tabs>
        <w:spacing w:line="360" w:lineRule="auto"/>
        <w:contextualSpacing/>
        <w:jc w:val="both"/>
        <w:rPr>
          <w:rFonts w:ascii="Bookman Old Style" w:hAnsi="Bookman Old Style"/>
          <w:sz w:val="28"/>
          <w:szCs w:val="28"/>
          <w:lang w:val="en-US"/>
        </w:rPr>
      </w:pPr>
    </w:p>
    <w:p w14:paraId="12E63F91" w14:textId="77777777" w:rsidR="006305E7" w:rsidRDefault="00910F1A" w:rsidP="00910F1A">
      <w:pPr>
        <w:pStyle w:val="ListParagraph"/>
        <w:tabs>
          <w:tab w:val="left" w:pos="1418"/>
        </w:tabs>
        <w:spacing w:line="360" w:lineRule="auto"/>
        <w:ind w:left="851"/>
        <w:jc w:val="both"/>
        <w:rPr>
          <w:rFonts w:ascii="Bookman Old Style" w:hAnsi="Bookman Old Style"/>
          <w:i/>
          <w:iCs/>
          <w:lang w:val="en-US"/>
        </w:rPr>
      </w:pPr>
      <w:r>
        <w:rPr>
          <w:rFonts w:ascii="Bookman Old Style" w:hAnsi="Bookman Old Style"/>
          <w:i/>
          <w:iCs/>
          <w:lang w:val="en-US"/>
        </w:rPr>
        <w:t>‘(1)</w:t>
      </w:r>
      <w:r>
        <w:rPr>
          <w:rFonts w:ascii="Bookman Old Style" w:hAnsi="Bookman Old Style"/>
          <w:i/>
          <w:iCs/>
          <w:lang w:val="en-US"/>
        </w:rPr>
        <w:tab/>
      </w:r>
      <w:r w:rsidR="006305E7" w:rsidRPr="00824731">
        <w:rPr>
          <w:rFonts w:ascii="Bookman Old Style" w:hAnsi="Bookman Old Style"/>
          <w:i/>
          <w:iCs/>
          <w:lang w:val="en-US"/>
        </w:rPr>
        <w:t xml:space="preserve">The Master of the High Court may from time to time be called upon to make rulings and findings </w:t>
      </w:r>
      <w:proofErr w:type="gramStart"/>
      <w:r w:rsidR="006305E7" w:rsidRPr="00824731">
        <w:rPr>
          <w:rFonts w:ascii="Bookman Old Style" w:hAnsi="Bookman Old Style"/>
          <w:i/>
          <w:iCs/>
          <w:lang w:val="en-US"/>
        </w:rPr>
        <w:t>with regard to</w:t>
      </w:r>
      <w:proofErr w:type="gramEnd"/>
      <w:r w:rsidR="006305E7" w:rsidRPr="00824731">
        <w:rPr>
          <w:rFonts w:ascii="Bookman Old Style" w:hAnsi="Bookman Old Style"/>
          <w:i/>
          <w:iCs/>
          <w:lang w:val="en-US"/>
        </w:rPr>
        <w:t xml:space="preserve"> a company in liquidation and it is the role of that office to do so.</w:t>
      </w:r>
    </w:p>
    <w:p w14:paraId="262151C1" w14:textId="77777777" w:rsidR="0007214C" w:rsidRPr="0007214C" w:rsidRDefault="0007214C" w:rsidP="0007214C">
      <w:pPr>
        <w:tabs>
          <w:tab w:val="left" w:pos="1418"/>
        </w:tabs>
        <w:spacing w:line="360" w:lineRule="auto"/>
        <w:jc w:val="both"/>
        <w:rPr>
          <w:rFonts w:ascii="Bookman Old Style" w:hAnsi="Bookman Old Style"/>
          <w:i/>
          <w:iCs/>
          <w:lang w:val="en-US"/>
        </w:rPr>
      </w:pPr>
    </w:p>
    <w:p w14:paraId="674A15CE" w14:textId="77777777" w:rsidR="006305E7" w:rsidRPr="00824731" w:rsidRDefault="00910F1A" w:rsidP="00910F1A">
      <w:pPr>
        <w:spacing w:line="360" w:lineRule="auto"/>
        <w:ind w:left="851"/>
        <w:jc w:val="both"/>
        <w:rPr>
          <w:rFonts w:ascii="Bookman Old Style" w:hAnsi="Bookman Old Style"/>
          <w:i/>
          <w:iCs/>
          <w:lang w:val="en-US"/>
        </w:rPr>
      </w:pPr>
      <w:r>
        <w:rPr>
          <w:rFonts w:ascii="Bookman Old Style" w:hAnsi="Bookman Old Style"/>
          <w:i/>
          <w:iCs/>
          <w:lang w:val="en-US"/>
        </w:rPr>
        <w:t>(2)</w:t>
      </w:r>
      <w:r>
        <w:rPr>
          <w:rFonts w:ascii="Bookman Old Style" w:hAnsi="Bookman Old Style"/>
          <w:i/>
          <w:iCs/>
          <w:lang w:val="en-US"/>
        </w:rPr>
        <w:tab/>
      </w:r>
      <w:r w:rsidR="006305E7" w:rsidRPr="00824731">
        <w:rPr>
          <w:rFonts w:ascii="Bookman Old Style" w:hAnsi="Bookman Old Style"/>
          <w:i/>
          <w:iCs/>
          <w:lang w:val="en-US"/>
        </w:rPr>
        <w:t>The Companies Act 2011 makes no mention of a provisional Liquidator but the Liquidator and Master of the High Court are required to comply with the Insolvency Proclamation …regarding meetings of creditors.</w:t>
      </w:r>
    </w:p>
    <w:p w14:paraId="20335E9F" w14:textId="77777777" w:rsidR="006305E7" w:rsidRDefault="00910F1A" w:rsidP="00910F1A">
      <w:pPr>
        <w:spacing w:line="360" w:lineRule="auto"/>
        <w:ind w:left="851"/>
        <w:jc w:val="both"/>
        <w:rPr>
          <w:rFonts w:ascii="Bookman Old Style" w:hAnsi="Bookman Old Style"/>
          <w:i/>
          <w:iCs/>
          <w:lang w:val="en-US"/>
        </w:rPr>
      </w:pPr>
      <w:r>
        <w:rPr>
          <w:rFonts w:ascii="Bookman Old Style" w:hAnsi="Bookman Old Style"/>
          <w:i/>
          <w:iCs/>
          <w:lang w:val="en-US"/>
        </w:rPr>
        <w:t>(3)</w:t>
      </w:r>
      <w:r>
        <w:rPr>
          <w:rFonts w:ascii="Bookman Old Style" w:hAnsi="Bookman Old Style"/>
          <w:i/>
          <w:iCs/>
          <w:lang w:val="en-US"/>
        </w:rPr>
        <w:tab/>
      </w:r>
      <w:r w:rsidR="006305E7" w:rsidRPr="00824731">
        <w:rPr>
          <w:rFonts w:ascii="Bookman Old Style" w:hAnsi="Bookman Old Style"/>
          <w:i/>
          <w:iCs/>
          <w:lang w:val="en-US"/>
        </w:rPr>
        <w:t xml:space="preserve">The Hire-Purchase owners of a property are secured </w:t>
      </w:r>
      <w:proofErr w:type="gramStart"/>
      <w:r w:rsidR="006305E7" w:rsidRPr="00824731">
        <w:rPr>
          <w:rFonts w:ascii="Bookman Old Style" w:hAnsi="Bookman Old Style"/>
          <w:i/>
          <w:iCs/>
          <w:lang w:val="en-US"/>
        </w:rPr>
        <w:t>creditors, but</w:t>
      </w:r>
      <w:proofErr w:type="gramEnd"/>
      <w:r w:rsidR="006305E7" w:rsidRPr="00824731">
        <w:rPr>
          <w:rFonts w:ascii="Bookman Old Style" w:hAnsi="Bookman Old Style"/>
          <w:i/>
          <w:iCs/>
          <w:lang w:val="en-US"/>
        </w:rPr>
        <w:t xml:space="preserve"> should they </w:t>
      </w:r>
      <w:proofErr w:type="spellStart"/>
      <w:r w:rsidR="006305E7" w:rsidRPr="00824731">
        <w:rPr>
          <w:rFonts w:ascii="Bookman Old Style" w:hAnsi="Bookman Old Style"/>
          <w:i/>
          <w:iCs/>
          <w:lang w:val="en-US"/>
        </w:rPr>
        <w:t>realise</w:t>
      </w:r>
      <w:proofErr w:type="spellEnd"/>
      <w:r w:rsidR="006305E7" w:rsidRPr="00824731">
        <w:rPr>
          <w:rFonts w:ascii="Bookman Old Style" w:hAnsi="Bookman Old Style"/>
          <w:i/>
          <w:iCs/>
          <w:lang w:val="en-US"/>
        </w:rPr>
        <w:t xml:space="preserve"> the proceeds of a sale of any of such assets </w:t>
      </w:r>
      <w:r w:rsidR="00045B6D">
        <w:rPr>
          <w:rFonts w:ascii="Bookman Old Style" w:hAnsi="Bookman Old Style"/>
          <w:i/>
          <w:iCs/>
          <w:lang w:val="en-US"/>
        </w:rPr>
        <w:t>t</w:t>
      </w:r>
      <w:r w:rsidR="006305E7" w:rsidRPr="00824731">
        <w:rPr>
          <w:rFonts w:ascii="Bookman Old Style" w:hAnsi="Bookman Old Style"/>
          <w:i/>
          <w:iCs/>
          <w:lang w:val="en-US"/>
        </w:rPr>
        <w:t xml:space="preserve">he </w:t>
      </w:r>
      <w:r w:rsidR="006305E7" w:rsidRPr="00824731">
        <w:rPr>
          <w:rFonts w:ascii="Bookman Old Style" w:hAnsi="Bookman Old Style"/>
          <w:i/>
          <w:iCs/>
          <w:lang w:val="en-US"/>
        </w:rPr>
        <w:lastRenderedPageBreak/>
        <w:t xml:space="preserve">funds must be paid over to the Liquidators to be dealt with in the liquidation and distribution </w:t>
      </w:r>
      <w:r w:rsidRPr="00824731">
        <w:rPr>
          <w:rFonts w:ascii="Bookman Old Style" w:hAnsi="Bookman Old Style"/>
          <w:i/>
          <w:iCs/>
          <w:lang w:val="en-US"/>
        </w:rPr>
        <w:t>account.</w:t>
      </w:r>
    </w:p>
    <w:p w14:paraId="6DC1CAFB" w14:textId="77777777" w:rsidR="0007214C" w:rsidRPr="00824731" w:rsidRDefault="0007214C" w:rsidP="0007214C">
      <w:pPr>
        <w:spacing w:line="360" w:lineRule="auto"/>
        <w:jc w:val="both"/>
        <w:rPr>
          <w:rFonts w:ascii="Bookman Old Style" w:hAnsi="Bookman Old Style"/>
          <w:i/>
          <w:iCs/>
          <w:lang w:val="en-US"/>
        </w:rPr>
      </w:pPr>
    </w:p>
    <w:p w14:paraId="3E94FB7D" w14:textId="77777777" w:rsidR="006305E7" w:rsidRPr="00824731" w:rsidRDefault="006305E7" w:rsidP="00910F1A">
      <w:pPr>
        <w:spacing w:line="360" w:lineRule="auto"/>
        <w:ind w:left="851"/>
        <w:jc w:val="both"/>
        <w:rPr>
          <w:rFonts w:ascii="Bookman Old Style" w:hAnsi="Bookman Old Style"/>
          <w:i/>
          <w:iCs/>
          <w:lang w:val="en-US"/>
        </w:rPr>
      </w:pPr>
      <w:r w:rsidRPr="00824731">
        <w:rPr>
          <w:rFonts w:ascii="Bookman Old Style" w:hAnsi="Bookman Old Style"/>
          <w:i/>
          <w:iCs/>
          <w:lang w:val="en-US"/>
        </w:rPr>
        <w:t>(</w:t>
      </w:r>
      <w:r w:rsidR="00910F1A">
        <w:rPr>
          <w:rFonts w:ascii="Bookman Old Style" w:hAnsi="Bookman Old Style"/>
          <w:i/>
          <w:iCs/>
          <w:lang w:val="en-US"/>
        </w:rPr>
        <w:t>4)</w:t>
      </w:r>
      <w:r w:rsidR="00910F1A">
        <w:rPr>
          <w:rFonts w:ascii="Bookman Old Style" w:hAnsi="Bookman Old Style"/>
          <w:i/>
          <w:iCs/>
          <w:lang w:val="en-US"/>
        </w:rPr>
        <w:tab/>
      </w:r>
      <w:r w:rsidRPr="00824731">
        <w:rPr>
          <w:rFonts w:ascii="Bookman Old Style" w:hAnsi="Bookman Old Style"/>
          <w:i/>
          <w:iCs/>
          <w:lang w:val="en-US"/>
        </w:rPr>
        <w:t xml:space="preserve">The Liquidators have the right to take expert legal advice without the authority of the </w:t>
      </w:r>
      <w:r>
        <w:rPr>
          <w:rFonts w:ascii="Bookman Old Style" w:hAnsi="Bookman Old Style"/>
          <w:i/>
          <w:iCs/>
          <w:lang w:val="en-US"/>
        </w:rPr>
        <w:t>M</w:t>
      </w:r>
      <w:r w:rsidRPr="00824731">
        <w:rPr>
          <w:rFonts w:ascii="Bookman Old Style" w:hAnsi="Bookman Old Style"/>
          <w:i/>
          <w:iCs/>
          <w:lang w:val="en-US"/>
        </w:rPr>
        <w:t>aster or the Creditors.’</w:t>
      </w:r>
    </w:p>
    <w:p w14:paraId="7480D16F" w14:textId="77777777" w:rsidR="006305E7" w:rsidRDefault="006305E7" w:rsidP="006305E7">
      <w:pPr>
        <w:spacing w:line="360" w:lineRule="auto"/>
        <w:jc w:val="both"/>
        <w:rPr>
          <w:rFonts w:ascii="Bookman Old Style" w:hAnsi="Bookman Old Style"/>
          <w:sz w:val="28"/>
          <w:szCs w:val="28"/>
          <w:lang w:val="en-US"/>
        </w:rPr>
      </w:pPr>
    </w:p>
    <w:p w14:paraId="0CEF862A" w14:textId="77777777" w:rsidR="006305E7" w:rsidRDefault="006305E7" w:rsidP="006305E7">
      <w:pPr>
        <w:spacing w:line="360" w:lineRule="auto"/>
        <w:jc w:val="both"/>
        <w:rPr>
          <w:rFonts w:ascii="Bookman Old Style" w:hAnsi="Bookman Old Style"/>
          <w:sz w:val="28"/>
          <w:szCs w:val="28"/>
          <w:u w:val="single"/>
          <w:lang w:val="en-US"/>
        </w:rPr>
      </w:pPr>
      <w:r w:rsidRPr="00813BFB">
        <w:rPr>
          <w:rFonts w:ascii="Bookman Old Style" w:hAnsi="Bookman Old Style"/>
          <w:sz w:val="28"/>
          <w:szCs w:val="28"/>
          <w:u w:val="single"/>
          <w:lang w:val="en-US"/>
        </w:rPr>
        <w:t>The appeal</w:t>
      </w:r>
    </w:p>
    <w:p w14:paraId="1160C87B" w14:textId="77777777" w:rsidR="008871C8" w:rsidRDefault="008871C8" w:rsidP="006305E7">
      <w:pPr>
        <w:spacing w:line="360" w:lineRule="auto"/>
        <w:jc w:val="both"/>
        <w:rPr>
          <w:rFonts w:ascii="Bookman Old Style" w:hAnsi="Bookman Old Style"/>
          <w:sz w:val="28"/>
          <w:szCs w:val="28"/>
          <w:u w:val="single"/>
          <w:lang w:val="en-US"/>
        </w:rPr>
      </w:pPr>
    </w:p>
    <w:p w14:paraId="5BFAB007" w14:textId="77777777" w:rsidR="00910F1A" w:rsidRDefault="004E4D20" w:rsidP="00910F1A">
      <w:pPr>
        <w:numPr>
          <w:ilvl w:val="0"/>
          <w:numId w:val="14"/>
        </w:numPr>
        <w:tabs>
          <w:tab w:val="left" w:pos="851"/>
        </w:tabs>
        <w:spacing w:line="360" w:lineRule="auto"/>
        <w:ind w:left="0" w:hanging="11"/>
        <w:contextualSpacing/>
        <w:jc w:val="both"/>
        <w:rPr>
          <w:rFonts w:ascii="Bookman Old Style" w:hAnsi="Bookman Old Style"/>
          <w:sz w:val="28"/>
          <w:szCs w:val="28"/>
          <w:lang w:val="en-US"/>
        </w:rPr>
      </w:pPr>
      <w:r w:rsidRPr="006305E7">
        <w:rPr>
          <w:rFonts w:ascii="Bookman Old Style" w:hAnsi="Bookman Old Style"/>
          <w:sz w:val="28"/>
          <w:szCs w:val="28"/>
          <w:lang w:val="en-US"/>
        </w:rPr>
        <w:t xml:space="preserve">The </w:t>
      </w:r>
      <w:r w:rsidR="00903394" w:rsidRPr="006305E7">
        <w:rPr>
          <w:rFonts w:ascii="Bookman Old Style" w:hAnsi="Bookman Old Style"/>
          <w:sz w:val="28"/>
          <w:szCs w:val="28"/>
          <w:lang w:val="en-US"/>
        </w:rPr>
        <w:t>L</w:t>
      </w:r>
      <w:r w:rsidRPr="006305E7">
        <w:rPr>
          <w:rFonts w:ascii="Bookman Old Style" w:hAnsi="Bookman Old Style"/>
          <w:sz w:val="28"/>
          <w:szCs w:val="28"/>
          <w:lang w:val="en-US"/>
        </w:rPr>
        <w:t xml:space="preserve">iquidators, although in substance successful, noted an appeal against the judgement and order of the High Court. </w:t>
      </w:r>
      <w:proofErr w:type="gramStart"/>
      <w:r w:rsidRPr="006305E7">
        <w:rPr>
          <w:rFonts w:ascii="Bookman Old Style" w:hAnsi="Bookman Old Style"/>
          <w:sz w:val="28"/>
          <w:szCs w:val="28"/>
          <w:lang w:val="en-US"/>
        </w:rPr>
        <w:t>The</w:t>
      </w:r>
      <w:r w:rsidR="00813BFB" w:rsidRPr="006305E7">
        <w:rPr>
          <w:rFonts w:ascii="Bookman Old Style" w:hAnsi="Bookman Old Style"/>
          <w:sz w:val="28"/>
          <w:szCs w:val="28"/>
          <w:lang w:val="en-US"/>
        </w:rPr>
        <w:t xml:space="preserve">ir </w:t>
      </w:r>
      <w:r w:rsidRPr="006305E7">
        <w:rPr>
          <w:rFonts w:ascii="Bookman Old Style" w:hAnsi="Bookman Old Style"/>
          <w:sz w:val="28"/>
          <w:szCs w:val="28"/>
          <w:lang w:val="en-US"/>
        </w:rPr>
        <w:t xml:space="preserve"> complaint</w:t>
      </w:r>
      <w:r w:rsidR="00703A0D" w:rsidRPr="006305E7">
        <w:rPr>
          <w:rFonts w:ascii="Bookman Old Style" w:hAnsi="Bookman Old Style"/>
          <w:sz w:val="28"/>
          <w:szCs w:val="28"/>
          <w:lang w:val="en-US"/>
        </w:rPr>
        <w:t>s</w:t>
      </w:r>
      <w:proofErr w:type="gramEnd"/>
      <w:r w:rsidR="00703A0D" w:rsidRPr="006305E7">
        <w:rPr>
          <w:rFonts w:ascii="Bookman Old Style" w:hAnsi="Bookman Old Style"/>
          <w:sz w:val="28"/>
          <w:szCs w:val="28"/>
          <w:lang w:val="en-US"/>
        </w:rPr>
        <w:t xml:space="preserve"> are </w:t>
      </w:r>
      <w:r w:rsidR="00903394" w:rsidRPr="006305E7">
        <w:rPr>
          <w:rFonts w:ascii="Bookman Old Style" w:hAnsi="Bookman Old Style"/>
          <w:sz w:val="28"/>
          <w:szCs w:val="28"/>
          <w:lang w:val="en-US"/>
        </w:rPr>
        <w:t>that:</w:t>
      </w:r>
      <w:r w:rsidR="00703A0D" w:rsidRPr="006305E7">
        <w:rPr>
          <w:rFonts w:ascii="Bookman Old Style" w:hAnsi="Bookman Old Style"/>
          <w:sz w:val="28"/>
          <w:szCs w:val="28"/>
          <w:lang w:val="en-US"/>
        </w:rPr>
        <w:t xml:space="preserve"> </w:t>
      </w:r>
    </w:p>
    <w:p w14:paraId="3B3FF447" w14:textId="77777777" w:rsidR="00910F1A" w:rsidRPr="00910F1A" w:rsidRDefault="00910F1A" w:rsidP="00910F1A">
      <w:pPr>
        <w:tabs>
          <w:tab w:val="left" w:pos="851"/>
        </w:tabs>
        <w:spacing w:line="360" w:lineRule="auto"/>
        <w:contextualSpacing/>
        <w:jc w:val="both"/>
        <w:rPr>
          <w:rFonts w:ascii="Bookman Old Style" w:hAnsi="Bookman Old Style"/>
          <w:sz w:val="28"/>
          <w:szCs w:val="28"/>
          <w:lang w:val="en-US"/>
        </w:rPr>
      </w:pPr>
    </w:p>
    <w:p w14:paraId="1F8B2BAD" w14:textId="77777777" w:rsidR="006305E7" w:rsidRDefault="006305E7" w:rsidP="00910F1A">
      <w:pPr>
        <w:pStyle w:val="ListParagraph"/>
        <w:numPr>
          <w:ilvl w:val="0"/>
          <w:numId w:val="16"/>
        </w:numPr>
        <w:spacing w:line="360" w:lineRule="auto"/>
        <w:ind w:left="1418" w:hanging="567"/>
        <w:jc w:val="both"/>
        <w:rPr>
          <w:rFonts w:ascii="Bookman Old Style" w:hAnsi="Bookman Old Style"/>
          <w:sz w:val="28"/>
          <w:szCs w:val="28"/>
          <w:lang w:val="en-US"/>
        </w:rPr>
      </w:pPr>
      <w:r w:rsidRPr="006305E7">
        <w:rPr>
          <w:rFonts w:ascii="Bookman Old Style" w:hAnsi="Bookman Old Style"/>
          <w:sz w:val="28"/>
          <w:szCs w:val="28"/>
          <w:lang w:val="en-US"/>
        </w:rPr>
        <w:t>The High Court misdirected itself in finding that the Liquidators and the Master are required to comply with the Insolvency Proclamation</w:t>
      </w:r>
      <w:r w:rsidR="00045B6D">
        <w:rPr>
          <w:rFonts w:ascii="Bookman Old Style" w:hAnsi="Bookman Old Style"/>
          <w:sz w:val="28"/>
          <w:szCs w:val="28"/>
          <w:lang w:val="en-US"/>
        </w:rPr>
        <w:t xml:space="preserve"> 1957</w:t>
      </w:r>
      <w:r w:rsidRPr="006305E7">
        <w:rPr>
          <w:rFonts w:ascii="Bookman Old Style" w:hAnsi="Bookman Old Style"/>
          <w:sz w:val="28"/>
          <w:szCs w:val="28"/>
          <w:lang w:val="en-US"/>
        </w:rPr>
        <w:t xml:space="preserve"> regarding meetings of creditors - instead of finding that the </w:t>
      </w:r>
      <w:r w:rsidR="00045B6D">
        <w:rPr>
          <w:rFonts w:ascii="Bookman Old Style" w:hAnsi="Bookman Old Style"/>
          <w:sz w:val="28"/>
          <w:szCs w:val="28"/>
          <w:lang w:val="en-US"/>
        </w:rPr>
        <w:t>CA 2011</w:t>
      </w:r>
      <w:r w:rsidRPr="006305E7">
        <w:rPr>
          <w:rFonts w:ascii="Bookman Old Style" w:hAnsi="Bookman Old Style"/>
          <w:sz w:val="28"/>
          <w:szCs w:val="28"/>
          <w:lang w:val="en-US"/>
        </w:rPr>
        <w:t xml:space="preserve"> does not provide for or contemplate any first meeting of creditors for purposes of proof of claims and election of liquidators;</w:t>
      </w:r>
    </w:p>
    <w:p w14:paraId="39174432" w14:textId="77777777" w:rsidR="00910F1A" w:rsidRPr="006305E7" w:rsidRDefault="00910F1A" w:rsidP="00910F1A">
      <w:pPr>
        <w:pStyle w:val="ListParagraph"/>
        <w:spacing w:line="360" w:lineRule="auto"/>
        <w:ind w:left="1418" w:hanging="567"/>
        <w:jc w:val="both"/>
        <w:rPr>
          <w:rFonts w:ascii="Bookman Old Style" w:hAnsi="Bookman Old Style"/>
          <w:sz w:val="28"/>
          <w:szCs w:val="28"/>
          <w:lang w:val="en-US"/>
        </w:rPr>
      </w:pPr>
    </w:p>
    <w:p w14:paraId="4C9FFC6B" w14:textId="77777777" w:rsidR="006305E7" w:rsidRDefault="006305E7" w:rsidP="00910F1A">
      <w:pPr>
        <w:pStyle w:val="ListParagraph"/>
        <w:numPr>
          <w:ilvl w:val="0"/>
          <w:numId w:val="16"/>
        </w:numPr>
        <w:spacing w:line="360" w:lineRule="auto"/>
        <w:ind w:left="1418" w:hanging="567"/>
        <w:jc w:val="both"/>
        <w:rPr>
          <w:rFonts w:ascii="Bookman Old Style" w:hAnsi="Bookman Old Style"/>
          <w:sz w:val="28"/>
          <w:szCs w:val="28"/>
          <w:lang w:val="en-US"/>
        </w:rPr>
      </w:pPr>
      <w:r w:rsidRPr="006305E7">
        <w:rPr>
          <w:rFonts w:ascii="Bookman Old Style" w:hAnsi="Bookman Old Style"/>
          <w:sz w:val="28"/>
          <w:szCs w:val="28"/>
          <w:lang w:val="en-US"/>
        </w:rPr>
        <w:t>That the High Court ought to have declared that if at any stage there be need or request to appoint an additional liquidator, the Master may do so bearing in mind the wishes of creditors and that the decision of the Master may be reviewed by the High Court;</w:t>
      </w:r>
    </w:p>
    <w:p w14:paraId="30A36EF0" w14:textId="77777777" w:rsidR="00910F1A" w:rsidRPr="00910F1A" w:rsidRDefault="00910F1A" w:rsidP="00910F1A">
      <w:pPr>
        <w:pStyle w:val="ListParagraph"/>
        <w:rPr>
          <w:rFonts w:ascii="Bookman Old Style" w:hAnsi="Bookman Old Style"/>
          <w:sz w:val="28"/>
          <w:szCs w:val="28"/>
          <w:lang w:val="en-US"/>
        </w:rPr>
      </w:pPr>
    </w:p>
    <w:p w14:paraId="08E3AD68" w14:textId="48F7C5BD" w:rsidR="006305E7" w:rsidRPr="006305E7" w:rsidRDefault="006305E7" w:rsidP="00910F1A">
      <w:pPr>
        <w:pStyle w:val="ListParagraph"/>
        <w:numPr>
          <w:ilvl w:val="0"/>
          <w:numId w:val="16"/>
        </w:numPr>
        <w:spacing w:line="360" w:lineRule="auto"/>
        <w:ind w:left="1418" w:hanging="567"/>
        <w:jc w:val="both"/>
        <w:rPr>
          <w:rFonts w:ascii="Bookman Old Style" w:hAnsi="Bookman Old Style"/>
          <w:sz w:val="28"/>
          <w:szCs w:val="28"/>
          <w:lang w:val="en-US"/>
        </w:rPr>
      </w:pPr>
      <w:r w:rsidRPr="006305E7">
        <w:rPr>
          <w:rFonts w:ascii="Bookman Old Style" w:hAnsi="Bookman Old Style"/>
          <w:sz w:val="28"/>
          <w:szCs w:val="28"/>
          <w:lang w:val="en-US"/>
        </w:rPr>
        <w:t xml:space="preserve">That the High Court ought to have declared that </w:t>
      </w:r>
      <w:r w:rsidR="00045B6D">
        <w:rPr>
          <w:rFonts w:ascii="Bookman Old Style" w:hAnsi="Bookman Old Style"/>
          <w:sz w:val="28"/>
          <w:szCs w:val="28"/>
          <w:lang w:val="en-US"/>
        </w:rPr>
        <w:t>l</w:t>
      </w:r>
      <w:r w:rsidRPr="006305E7">
        <w:rPr>
          <w:rFonts w:ascii="Bookman Old Style" w:hAnsi="Bookman Old Style"/>
          <w:sz w:val="28"/>
          <w:szCs w:val="28"/>
          <w:lang w:val="en-US"/>
        </w:rPr>
        <w:t xml:space="preserve">iquidator(s) appointed by the High Court or the Master </w:t>
      </w:r>
      <w:r w:rsidRPr="006305E7">
        <w:rPr>
          <w:rFonts w:ascii="Bookman Old Style" w:hAnsi="Bookman Old Style"/>
          <w:sz w:val="28"/>
          <w:szCs w:val="28"/>
          <w:lang w:val="en-US"/>
        </w:rPr>
        <w:lastRenderedPageBreak/>
        <w:t xml:space="preserve">in terms of the </w:t>
      </w:r>
      <w:r w:rsidR="00045B6D">
        <w:rPr>
          <w:rFonts w:ascii="Bookman Old Style" w:hAnsi="Bookman Old Style"/>
          <w:sz w:val="28"/>
          <w:szCs w:val="28"/>
          <w:lang w:val="en-US"/>
        </w:rPr>
        <w:t>CA</w:t>
      </w:r>
      <w:r w:rsidRPr="006305E7">
        <w:rPr>
          <w:rFonts w:ascii="Bookman Old Style" w:hAnsi="Bookman Old Style"/>
          <w:sz w:val="28"/>
          <w:szCs w:val="28"/>
          <w:lang w:val="en-US"/>
        </w:rPr>
        <w:t xml:space="preserve"> 20</w:t>
      </w:r>
      <w:r w:rsidR="00045B6D">
        <w:rPr>
          <w:rFonts w:ascii="Bookman Old Style" w:hAnsi="Bookman Old Style"/>
          <w:sz w:val="28"/>
          <w:szCs w:val="28"/>
          <w:lang w:val="en-US"/>
        </w:rPr>
        <w:t>1</w:t>
      </w:r>
      <w:r w:rsidRPr="006305E7">
        <w:rPr>
          <w:rFonts w:ascii="Bookman Old Style" w:hAnsi="Bookman Old Style"/>
          <w:sz w:val="28"/>
          <w:szCs w:val="28"/>
          <w:lang w:val="en-US"/>
        </w:rPr>
        <w:t>1, are liquidators and not provisional liquidators.</w:t>
      </w:r>
    </w:p>
    <w:p w14:paraId="21801572" w14:textId="77777777" w:rsidR="006305E7" w:rsidRDefault="006305E7" w:rsidP="006305E7">
      <w:pPr>
        <w:tabs>
          <w:tab w:val="left" w:pos="851"/>
        </w:tabs>
        <w:spacing w:line="360" w:lineRule="auto"/>
        <w:contextualSpacing/>
        <w:jc w:val="both"/>
        <w:rPr>
          <w:rFonts w:ascii="Bookman Old Style" w:hAnsi="Bookman Old Style"/>
          <w:sz w:val="28"/>
          <w:szCs w:val="28"/>
          <w:lang w:val="en-US"/>
        </w:rPr>
      </w:pPr>
    </w:p>
    <w:p w14:paraId="49C385C3" w14:textId="2228BA71" w:rsidR="006305E7" w:rsidRDefault="008871C8" w:rsidP="006305E7">
      <w:pPr>
        <w:tabs>
          <w:tab w:val="left" w:pos="851"/>
        </w:tabs>
        <w:spacing w:line="360" w:lineRule="auto"/>
        <w:contextualSpacing/>
        <w:jc w:val="both"/>
        <w:rPr>
          <w:rFonts w:ascii="Bookman Old Style" w:hAnsi="Bookman Old Style"/>
          <w:sz w:val="28"/>
          <w:szCs w:val="28"/>
          <w:u w:val="single"/>
          <w:lang w:val="en-US"/>
        </w:rPr>
      </w:pPr>
      <w:r>
        <w:rPr>
          <w:rFonts w:ascii="Bookman Old Style" w:hAnsi="Bookman Old Style"/>
          <w:sz w:val="28"/>
          <w:szCs w:val="28"/>
          <w:u w:val="single"/>
          <w:lang w:val="en-US"/>
        </w:rPr>
        <w:t>The B</w:t>
      </w:r>
      <w:r w:rsidR="00F34AD5" w:rsidRPr="006305E7">
        <w:rPr>
          <w:rFonts w:ascii="Bookman Old Style" w:hAnsi="Bookman Old Style"/>
          <w:sz w:val="28"/>
          <w:szCs w:val="28"/>
          <w:u w:val="single"/>
          <w:lang w:val="en-US"/>
        </w:rPr>
        <w:t>anks</w:t>
      </w:r>
      <w:r w:rsidR="00813BFB" w:rsidRPr="006305E7">
        <w:rPr>
          <w:rFonts w:ascii="Bookman Old Style" w:hAnsi="Bookman Old Style"/>
          <w:sz w:val="28"/>
          <w:szCs w:val="28"/>
          <w:u w:val="single"/>
          <w:lang w:val="en-US"/>
        </w:rPr>
        <w:t>’</w:t>
      </w:r>
      <w:r w:rsidR="00F34AD5" w:rsidRPr="006305E7">
        <w:rPr>
          <w:rFonts w:ascii="Bookman Old Style" w:hAnsi="Bookman Old Style"/>
          <w:sz w:val="28"/>
          <w:szCs w:val="28"/>
          <w:u w:val="single"/>
          <w:lang w:val="en-US"/>
        </w:rPr>
        <w:t xml:space="preserve"> purported cross-appeal</w:t>
      </w:r>
    </w:p>
    <w:p w14:paraId="6469C032" w14:textId="77777777" w:rsidR="008871C8" w:rsidRDefault="008871C8" w:rsidP="006305E7">
      <w:pPr>
        <w:tabs>
          <w:tab w:val="left" w:pos="851"/>
        </w:tabs>
        <w:spacing w:line="360" w:lineRule="auto"/>
        <w:contextualSpacing/>
        <w:jc w:val="both"/>
        <w:rPr>
          <w:rFonts w:ascii="Bookman Old Style" w:hAnsi="Bookman Old Style"/>
          <w:sz w:val="28"/>
          <w:szCs w:val="28"/>
          <w:lang w:val="en-US"/>
        </w:rPr>
      </w:pPr>
    </w:p>
    <w:p w14:paraId="6CEF7163" w14:textId="0F853667" w:rsidR="006305E7" w:rsidRDefault="00F34AD5" w:rsidP="000D1B85">
      <w:pPr>
        <w:numPr>
          <w:ilvl w:val="0"/>
          <w:numId w:val="14"/>
        </w:numPr>
        <w:tabs>
          <w:tab w:val="left" w:pos="851"/>
        </w:tabs>
        <w:spacing w:line="360" w:lineRule="auto"/>
        <w:ind w:left="0" w:hanging="11"/>
        <w:contextualSpacing/>
        <w:jc w:val="both"/>
        <w:rPr>
          <w:rFonts w:ascii="Bookman Old Style" w:hAnsi="Bookman Old Style"/>
          <w:sz w:val="28"/>
          <w:szCs w:val="28"/>
          <w:lang w:val="en-US"/>
        </w:rPr>
      </w:pPr>
      <w:r w:rsidRPr="006305E7">
        <w:rPr>
          <w:rFonts w:ascii="Bookman Old Style" w:hAnsi="Bookman Old Style"/>
          <w:sz w:val="28"/>
          <w:szCs w:val="28"/>
          <w:lang w:val="en-US"/>
        </w:rPr>
        <w:t xml:space="preserve">It will be recalled that </w:t>
      </w:r>
      <w:proofErr w:type="spellStart"/>
      <w:r w:rsidRPr="006305E7">
        <w:rPr>
          <w:rFonts w:ascii="Bookman Old Style" w:hAnsi="Bookman Old Style"/>
          <w:sz w:val="28"/>
          <w:szCs w:val="28"/>
          <w:lang w:val="en-US"/>
        </w:rPr>
        <w:t>Molote</w:t>
      </w:r>
      <w:proofErr w:type="spellEnd"/>
      <w:r w:rsidRPr="006305E7">
        <w:rPr>
          <w:rFonts w:ascii="Bookman Old Style" w:hAnsi="Bookman Old Style"/>
          <w:sz w:val="28"/>
          <w:szCs w:val="28"/>
          <w:lang w:val="en-US"/>
        </w:rPr>
        <w:t xml:space="preserve"> J handed down judgment on 14 March 2019. </w:t>
      </w:r>
      <w:r w:rsidR="00C93D27" w:rsidRPr="006305E7">
        <w:rPr>
          <w:rFonts w:ascii="Bookman Old Style" w:hAnsi="Bookman Old Style"/>
          <w:sz w:val="28"/>
          <w:szCs w:val="28"/>
          <w:lang w:val="en-US"/>
        </w:rPr>
        <w:t xml:space="preserve">The </w:t>
      </w:r>
      <w:r w:rsidR="00903394" w:rsidRPr="006305E7">
        <w:rPr>
          <w:rFonts w:ascii="Bookman Old Style" w:hAnsi="Bookman Old Style"/>
          <w:sz w:val="28"/>
          <w:szCs w:val="28"/>
          <w:lang w:val="en-US"/>
        </w:rPr>
        <w:t>B</w:t>
      </w:r>
      <w:r w:rsidR="00C93D27" w:rsidRPr="006305E7">
        <w:rPr>
          <w:rFonts w:ascii="Bookman Old Style" w:hAnsi="Bookman Old Style"/>
          <w:sz w:val="28"/>
          <w:szCs w:val="28"/>
          <w:lang w:val="en-US"/>
        </w:rPr>
        <w:t xml:space="preserve">anks never brought any application to seek a stay of </w:t>
      </w:r>
      <w:r w:rsidR="008871C8">
        <w:rPr>
          <w:rFonts w:ascii="Bookman Old Style" w:hAnsi="Bookman Old Style"/>
          <w:sz w:val="28"/>
          <w:szCs w:val="28"/>
          <w:lang w:val="en-US"/>
        </w:rPr>
        <w:t xml:space="preserve">its </w:t>
      </w:r>
      <w:r w:rsidR="00C93D27" w:rsidRPr="006305E7">
        <w:rPr>
          <w:rFonts w:ascii="Bookman Old Style" w:hAnsi="Bookman Old Style"/>
          <w:sz w:val="28"/>
          <w:szCs w:val="28"/>
          <w:lang w:val="en-US"/>
        </w:rPr>
        <w:t>execution pending appeal. Although</w:t>
      </w:r>
      <w:r w:rsidR="00903394" w:rsidRPr="006305E7">
        <w:rPr>
          <w:rFonts w:ascii="Bookman Old Style" w:hAnsi="Bookman Old Style"/>
          <w:sz w:val="28"/>
          <w:szCs w:val="28"/>
          <w:lang w:val="en-US"/>
        </w:rPr>
        <w:t>,</w:t>
      </w:r>
      <w:r w:rsidR="00045B6D">
        <w:rPr>
          <w:rFonts w:ascii="Bookman Old Style" w:hAnsi="Bookman Old Style"/>
          <w:sz w:val="28"/>
          <w:szCs w:val="28"/>
          <w:lang w:val="en-US"/>
        </w:rPr>
        <w:t xml:space="preserve"> as is now apparent</w:t>
      </w:r>
      <w:r w:rsidR="00903394" w:rsidRPr="006305E7">
        <w:rPr>
          <w:rFonts w:ascii="Bookman Old Style" w:hAnsi="Bookman Old Style"/>
          <w:sz w:val="28"/>
          <w:szCs w:val="28"/>
          <w:lang w:val="en-US"/>
        </w:rPr>
        <w:t>,</w:t>
      </w:r>
      <w:r w:rsidR="00C93D27" w:rsidRPr="006305E7">
        <w:rPr>
          <w:rFonts w:ascii="Bookman Old Style" w:hAnsi="Bookman Old Style"/>
          <w:sz w:val="28"/>
          <w:szCs w:val="28"/>
          <w:lang w:val="en-US"/>
        </w:rPr>
        <w:t xml:space="preserve"> the </w:t>
      </w:r>
      <w:r w:rsidR="00903394" w:rsidRPr="006305E7">
        <w:rPr>
          <w:rFonts w:ascii="Bookman Old Style" w:hAnsi="Bookman Old Style"/>
          <w:sz w:val="28"/>
          <w:szCs w:val="28"/>
          <w:lang w:val="en-US"/>
        </w:rPr>
        <w:t>B</w:t>
      </w:r>
      <w:r w:rsidR="00C93D27" w:rsidRPr="006305E7">
        <w:rPr>
          <w:rFonts w:ascii="Bookman Old Style" w:hAnsi="Bookman Old Style"/>
          <w:sz w:val="28"/>
          <w:szCs w:val="28"/>
          <w:lang w:val="en-US"/>
        </w:rPr>
        <w:t xml:space="preserve">anks wished to cross-appeal the judgment and order of </w:t>
      </w:r>
      <w:proofErr w:type="spellStart"/>
      <w:r w:rsidR="00C93D27" w:rsidRPr="006305E7">
        <w:rPr>
          <w:rFonts w:ascii="Bookman Old Style" w:hAnsi="Bookman Old Style"/>
          <w:sz w:val="28"/>
          <w:szCs w:val="28"/>
          <w:lang w:val="en-US"/>
        </w:rPr>
        <w:t>Molete</w:t>
      </w:r>
      <w:proofErr w:type="spellEnd"/>
      <w:r w:rsidR="00C93D27" w:rsidRPr="006305E7">
        <w:rPr>
          <w:rFonts w:ascii="Bookman Old Style" w:hAnsi="Bookman Old Style"/>
          <w:sz w:val="28"/>
          <w:szCs w:val="28"/>
          <w:lang w:val="en-US"/>
        </w:rPr>
        <w:t xml:space="preserve"> J, they took no steps to prosecute such cross-appeal. </w:t>
      </w:r>
    </w:p>
    <w:p w14:paraId="38DDE438" w14:textId="77777777" w:rsidR="006305E7" w:rsidRDefault="006305E7" w:rsidP="006305E7">
      <w:pPr>
        <w:tabs>
          <w:tab w:val="left" w:pos="851"/>
        </w:tabs>
        <w:spacing w:line="360" w:lineRule="auto"/>
        <w:contextualSpacing/>
        <w:jc w:val="both"/>
        <w:rPr>
          <w:rFonts w:ascii="Bookman Old Style" w:hAnsi="Bookman Old Style"/>
          <w:sz w:val="28"/>
          <w:szCs w:val="28"/>
          <w:lang w:val="en-US"/>
        </w:rPr>
      </w:pPr>
    </w:p>
    <w:p w14:paraId="3388F88F" w14:textId="75CBCD22" w:rsidR="006305E7" w:rsidRDefault="00C93D27" w:rsidP="000D1B85">
      <w:pPr>
        <w:numPr>
          <w:ilvl w:val="0"/>
          <w:numId w:val="14"/>
        </w:numPr>
        <w:tabs>
          <w:tab w:val="left" w:pos="851"/>
        </w:tabs>
        <w:spacing w:line="360" w:lineRule="auto"/>
        <w:ind w:left="0" w:hanging="11"/>
        <w:contextualSpacing/>
        <w:jc w:val="both"/>
        <w:rPr>
          <w:rFonts w:ascii="Bookman Old Style" w:hAnsi="Bookman Old Style"/>
          <w:sz w:val="28"/>
          <w:szCs w:val="28"/>
          <w:lang w:val="en-US"/>
        </w:rPr>
      </w:pPr>
      <w:r w:rsidRPr="006305E7">
        <w:rPr>
          <w:rFonts w:ascii="Bookman Old Style" w:hAnsi="Bookman Old Style"/>
          <w:sz w:val="28"/>
          <w:szCs w:val="28"/>
          <w:lang w:val="en-US"/>
        </w:rPr>
        <w:t xml:space="preserve">When the matter was set down in a previous session of this court, the banks lodged a notice of cross-appeal dated 12 November 2019 and received by the </w:t>
      </w:r>
      <w:r w:rsidR="00903394" w:rsidRPr="006305E7">
        <w:rPr>
          <w:rFonts w:ascii="Bookman Old Style" w:hAnsi="Bookman Old Style"/>
          <w:sz w:val="28"/>
          <w:szCs w:val="28"/>
          <w:lang w:val="en-US"/>
        </w:rPr>
        <w:t>court’s R</w:t>
      </w:r>
      <w:r w:rsidRPr="006305E7">
        <w:rPr>
          <w:rFonts w:ascii="Bookman Old Style" w:hAnsi="Bookman Old Style"/>
          <w:sz w:val="28"/>
          <w:szCs w:val="28"/>
          <w:lang w:val="en-US"/>
        </w:rPr>
        <w:t>egistrar on 7 January 2020.</w:t>
      </w:r>
      <w:r w:rsidR="00D84A0B" w:rsidRPr="006305E7">
        <w:rPr>
          <w:rFonts w:ascii="Bookman Old Style" w:hAnsi="Bookman Old Style"/>
          <w:sz w:val="28"/>
          <w:szCs w:val="28"/>
          <w:lang w:val="en-US"/>
        </w:rPr>
        <w:t xml:space="preserve"> The principal gripe </w:t>
      </w:r>
      <w:r w:rsidR="00045B6D">
        <w:rPr>
          <w:rFonts w:ascii="Bookman Old Style" w:hAnsi="Bookman Old Style"/>
          <w:sz w:val="28"/>
          <w:szCs w:val="28"/>
          <w:lang w:val="en-US"/>
        </w:rPr>
        <w:t>expressed therein is</w:t>
      </w:r>
      <w:r w:rsidR="00D84A0B" w:rsidRPr="006305E7">
        <w:rPr>
          <w:rFonts w:ascii="Bookman Old Style" w:hAnsi="Bookman Old Style"/>
          <w:sz w:val="28"/>
          <w:szCs w:val="28"/>
          <w:lang w:val="en-US"/>
        </w:rPr>
        <w:t xml:space="preserve"> that the High Court misdirected itself in finding that the </w:t>
      </w:r>
      <w:r w:rsidR="00903394" w:rsidRPr="006305E7">
        <w:rPr>
          <w:rFonts w:ascii="Bookman Old Style" w:hAnsi="Bookman Old Style"/>
          <w:sz w:val="28"/>
          <w:szCs w:val="28"/>
          <w:lang w:val="en-US"/>
        </w:rPr>
        <w:t>B</w:t>
      </w:r>
      <w:r w:rsidR="00D84A0B" w:rsidRPr="006305E7">
        <w:rPr>
          <w:rFonts w:ascii="Bookman Old Style" w:hAnsi="Bookman Old Style"/>
          <w:sz w:val="28"/>
          <w:szCs w:val="28"/>
          <w:lang w:val="en-US"/>
        </w:rPr>
        <w:t xml:space="preserve">anks, although secured creditors, should </w:t>
      </w:r>
      <w:proofErr w:type="spellStart"/>
      <w:r w:rsidR="00D84A0B" w:rsidRPr="006305E7">
        <w:rPr>
          <w:rFonts w:ascii="Bookman Old Style" w:hAnsi="Bookman Old Style"/>
          <w:sz w:val="28"/>
          <w:szCs w:val="28"/>
          <w:lang w:val="en-US"/>
        </w:rPr>
        <w:t>realise</w:t>
      </w:r>
      <w:proofErr w:type="spellEnd"/>
      <w:r w:rsidR="00D84A0B" w:rsidRPr="006305E7">
        <w:rPr>
          <w:rFonts w:ascii="Bookman Old Style" w:hAnsi="Bookman Old Style"/>
          <w:sz w:val="28"/>
          <w:szCs w:val="28"/>
          <w:lang w:val="en-US"/>
        </w:rPr>
        <w:t xml:space="preserve"> the proceeds of sale of the as</w:t>
      </w:r>
      <w:r w:rsidR="008871C8">
        <w:rPr>
          <w:rFonts w:ascii="Bookman Old Style" w:hAnsi="Bookman Old Style"/>
          <w:sz w:val="28"/>
          <w:szCs w:val="28"/>
          <w:lang w:val="en-US"/>
        </w:rPr>
        <w:t>sets and pay over to the L</w:t>
      </w:r>
      <w:r w:rsidR="00D84A0B" w:rsidRPr="006305E7">
        <w:rPr>
          <w:rFonts w:ascii="Bookman Old Style" w:hAnsi="Bookman Old Style"/>
          <w:sz w:val="28"/>
          <w:szCs w:val="28"/>
          <w:lang w:val="en-US"/>
        </w:rPr>
        <w:t xml:space="preserve">iquidators to be dealt with in the liquidation and distribution account. </w:t>
      </w:r>
    </w:p>
    <w:p w14:paraId="28B452FA" w14:textId="77777777" w:rsidR="006305E7" w:rsidRDefault="006305E7" w:rsidP="006305E7">
      <w:pPr>
        <w:pStyle w:val="ListParagraph"/>
        <w:rPr>
          <w:rFonts w:ascii="Bookman Old Style" w:hAnsi="Bookman Old Style"/>
          <w:sz w:val="28"/>
          <w:szCs w:val="28"/>
          <w:lang w:val="en-US"/>
        </w:rPr>
      </w:pPr>
    </w:p>
    <w:p w14:paraId="28E0102C" w14:textId="77777777" w:rsidR="006305E7" w:rsidRDefault="00D84A0B" w:rsidP="000D1B85">
      <w:pPr>
        <w:numPr>
          <w:ilvl w:val="0"/>
          <w:numId w:val="14"/>
        </w:numPr>
        <w:tabs>
          <w:tab w:val="left" w:pos="851"/>
        </w:tabs>
        <w:spacing w:line="360" w:lineRule="auto"/>
        <w:ind w:left="0" w:hanging="11"/>
        <w:contextualSpacing/>
        <w:jc w:val="both"/>
        <w:rPr>
          <w:rFonts w:ascii="Bookman Old Style" w:hAnsi="Bookman Old Style"/>
          <w:sz w:val="28"/>
          <w:szCs w:val="28"/>
          <w:lang w:val="en-US"/>
        </w:rPr>
      </w:pPr>
      <w:r w:rsidRPr="006305E7">
        <w:rPr>
          <w:rFonts w:ascii="Bookman Old Style" w:hAnsi="Bookman Old Style"/>
          <w:sz w:val="28"/>
          <w:szCs w:val="28"/>
          <w:lang w:val="en-US"/>
        </w:rPr>
        <w:t xml:space="preserve">It is common cause that the notice of cross-appeal was hopelessly out of </w:t>
      </w:r>
      <w:proofErr w:type="gramStart"/>
      <w:r w:rsidRPr="006305E7">
        <w:rPr>
          <w:rFonts w:ascii="Bookman Old Style" w:hAnsi="Bookman Old Style"/>
          <w:sz w:val="28"/>
          <w:szCs w:val="28"/>
          <w:lang w:val="en-US"/>
        </w:rPr>
        <w:t>time</w:t>
      </w:r>
      <w:proofErr w:type="gramEnd"/>
      <w:r w:rsidRPr="006305E7">
        <w:rPr>
          <w:rFonts w:ascii="Bookman Old Style" w:hAnsi="Bookman Old Style"/>
          <w:sz w:val="28"/>
          <w:szCs w:val="28"/>
          <w:lang w:val="en-US"/>
        </w:rPr>
        <w:t xml:space="preserve"> but it was not accompanied by a condonation application. That is of great concern because the appeal was previously stood down to afford the </w:t>
      </w:r>
      <w:r w:rsidR="00903394" w:rsidRPr="006305E7">
        <w:rPr>
          <w:rFonts w:ascii="Bookman Old Style" w:hAnsi="Bookman Old Style"/>
          <w:sz w:val="28"/>
          <w:szCs w:val="28"/>
          <w:lang w:val="en-US"/>
        </w:rPr>
        <w:t>B</w:t>
      </w:r>
      <w:r w:rsidRPr="006305E7">
        <w:rPr>
          <w:rFonts w:ascii="Bookman Old Style" w:hAnsi="Bookman Old Style"/>
          <w:sz w:val="28"/>
          <w:szCs w:val="28"/>
          <w:lang w:val="en-US"/>
        </w:rPr>
        <w:t xml:space="preserve">anks the opportunity to apply for condonation. Even when the appeal was re-enrolled for the current session, no application for condonation was filed by the </w:t>
      </w:r>
      <w:r w:rsidR="00903394" w:rsidRPr="006305E7">
        <w:rPr>
          <w:rFonts w:ascii="Bookman Old Style" w:hAnsi="Bookman Old Style"/>
          <w:sz w:val="28"/>
          <w:szCs w:val="28"/>
          <w:lang w:val="en-US"/>
        </w:rPr>
        <w:t>B</w:t>
      </w:r>
      <w:r w:rsidRPr="006305E7">
        <w:rPr>
          <w:rFonts w:ascii="Bookman Old Style" w:hAnsi="Bookman Old Style"/>
          <w:sz w:val="28"/>
          <w:szCs w:val="28"/>
          <w:lang w:val="en-US"/>
        </w:rPr>
        <w:t>anks</w:t>
      </w:r>
      <w:r w:rsidR="00903394" w:rsidRPr="006305E7">
        <w:rPr>
          <w:rFonts w:ascii="Bookman Old Style" w:hAnsi="Bookman Old Style"/>
          <w:sz w:val="28"/>
          <w:szCs w:val="28"/>
          <w:lang w:val="en-US"/>
        </w:rPr>
        <w:t xml:space="preserve"> – only undated heads of argument received </w:t>
      </w:r>
      <w:r w:rsidR="00903394" w:rsidRPr="006305E7">
        <w:rPr>
          <w:rFonts w:ascii="Bookman Old Style" w:hAnsi="Bookman Old Style"/>
          <w:sz w:val="28"/>
          <w:szCs w:val="28"/>
          <w:lang w:val="en-US"/>
        </w:rPr>
        <w:lastRenderedPageBreak/>
        <w:t>by the Registrar on 9 March 2020</w:t>
      </w:r>
      <w:r w:rsidRPr="006305E7">
        <w:rPr>
          <w:rFonts w:ascii="Bookman Old Style" w:hAnsi="Bookman Old Style"/>
          <w:sz w:val="28"/>
          <w:szCs w:val="28"/>
          <w:lang w:val="en-US"/>
        </w:rPr>
        <w:t xml:space="preserve">. </w:t>
      </w:r>
      <w:r w:rsidR="00903394" w:rsidRPr="006305E7">
        <w:rPr>
          <w:rFonts w:ascii="Bookman Old Style" w:hAnsi="Bookman Old Style"/>
          <w:sz w:val="28"/>
          <w:szCs w:val="28"/>
          <w:lang w:val="en-US"/>
        </w:rPr>
        <w:t>Those hea</w:t>
      </w:r>
      <w:r w:rsidR="00045B6D">
        <w:rPr>
          <w:rFonts w:ascii="Bookman Old Style" w:hAnsi="Bookman Old Style"/>
          <w:sz w:val="28"/>
          <w:szCs w:val="28"/>
          <w:lang w:val="en-US"/>
        </w:rPr>
        <w:t>ds purport to address both the L</w:t>
      </w:r>
      <w:r w:rsidR="00903394" w:rsidRPr="006305E7">
        <w:rPr>
          <w:rFonts w:ascii="Bookman Old Style" w:hAnsi="Bookman Old Style"/>
          <w:sz w:val="28"/>
          <w:szCs w:val="28"/>
          <w:lang w:val="en-US"/>
        </w:rPr>
        <w:t>iquidators’ appeal grounds and those set out in the ‘cross-appeal’.</w:t>
      </w:r>
    </w:p>
    <w:p w14:paraId="36D9292C" w14:textId="77777777" w:rsidR="006305E7" w:rsidRDefault="006305E7" w:rsidP="006305E7">
      <w:pPr>
        <w:pStyle w:val="ListParagraph"/>
        <w:rPr>
          <w:rFonts w:ascii="Bookman Old Style" w:hAnsi="Bookman Old Style"/>
          <w:sz w:val="28"/>
          <w:szCs w:val="28"/>
          <w:lang w:val="en-US"/>
        </w:rPr>
      </w:pPr>
    </w:p>
    <w:p w14:paraId="440D57DF" w14:textId="064B8A37" w:rsidR="00BD7561" w:rsidRDefault="00D84A0B" w:rsidP="000D1B85">
      <w:pPr>
        <w:numPr>
          <w:ilvl w:val="0"/>
          <w:numId w:val="14"/>
        </w:numPr>
        <w:tabs>
          <w:tab w:val="left" w:pos="851"/>
        </w:tabs>
        <w:spacing w:line="360" w:lineRule="auto"/>
        <w:ind w:left="0" w:hanging="11"/>
        <w:contextualSpacing/>
        <w:jc w:val="both"/>
        <w:rPr>
          <w:rFonts w:ascii="Bookman Old Style" w:hAnsi="Bookman Old Style"/>
          <w:sz w:val="28"/>
          <w:szCs w:val="28"/>
          <w:lang w:val="en-US"/>
        </w:rPr>
      </w:pPr>
      <w:r w:rsidRPr="006305E7">
        <w:rPr>
          <w:rFonts w:ascii="Bookman Old Style" w:hAnsi="Bookman Old Style"/>
          <w:sz w:val="28"/>
          <w:szCs w:val="28"/>
          <w:lang w:val="en-US"/>
        </w:rPr>
        <w:t xml:space="preserve">It defies reason that the </w:t>
      </w:r>
      <w:r w:rsidR="00903394" w:rsidRPr="006305E7">
        <w:rPr>
          <w:rFonts w:ascii="Bookman Old Style" w:hAnsi="Bookman Old Style"/>
          <w:sz w:val="28"/>
          <w:szCs w:val="28"/>
          <w:lang w:val="en-US"/>
        </w:rPr>
        <w:t>B</w:t>
      </w:r>
      <w:r w:rsidRPr="006305E7">
        <w:rPr>
          <w:rFonts w:ascii="Bookman Old Style" w:hAnsi="Bookman Old Style"/>
          <w:sz w:val="28"/>
          <w:szCs w:val="28"/>
          <w:lang w:val="en-US"/>
        </w:rPr>
        <w:t>anks seek to pursue the cross</w:t>
      </w:r>
      <w:r w:rsidR="00903394" w:rsidRPr="006305E7">
        <w:rPr>
          <w:rFonts w:ascii="Bookman Old Style" w:hAnsi="Bookman Old Style"/>
          <w:sz w:val="28"/>
          <w:szCs w:val="28"/>
          <w:lang w:val="en-US"/>
        </w:rPr>
        <w:t>-</w:t>
      </w:r>
      <w:r w:rsidRPr="006305E7">
        <w:rPr>
          <w:rFonts w:ascii="Bookman Old Style" w:hAnsi="Bookman Old Style"/>
          <w:sz w:val="28"/>
          <w:szCs w:val="28"/>
          <w:lang w:val="en-US"/>
        </w:rPr>
        <w:t xml:space="preserve"> appeal without seeking condonation for the late filing of the cro</w:t>
      </w:r>
      <w:r w:rsidR="008871C8">
        <w:rPr>
          <w:rFonts w:ascii="Bookman Old Style" w:hAnsi="Bookman Old Style"/>
          <w:sz w:val="28"/>
          <w:szCs w:val="28"/>
          <w:lang w:val="en-US"/>
        </w:rPr>
        <w:t xml:space="preserve">ss-appeal. I agree with </w:t>
      </w:r>
      <w:proofErr w:type="spellStart"/>
      <w:r w:rsidR="008871C8">
        <w:rPr>
          <w:rFonts w:ascii="Bookman Old Style" w:hAnsi="Bookman Old Style"/>
          <w:sz w:val="28"/>
          <w:szCs w:val="28"/>
          <w:lang w:val="en-US"/>
        </w:rPr>
        <w:t>Mr</w:t>
      </w:r>
      <w:proofErr w:type="spellEnd"/>
      <w:r w:rsidR="008871C8">
        <w:rPr>
          <w:rFonts w:ascii="Bookman Old Style" w:hAnsi="Bookman Old Style"/>
          <w:sz w:val="28"/>
          <w:szCs w:val="28"/>
          <w:lang w:val="en-US"/>
        </w:rPr>
        <w:t xml:space="preserve"> </w:t>
      </w:r>
      <w:proofErr w:type="spellStart"/>
      <w:r w:rsidR="008871C8">
        <w:rPr>
          <w:rFonts w:ascii="Bookman Old Style" w:hAnsi="Bookman Old Style"/>
          <w:sz w:val="28"/>
          <w:szCs w:val="28"/>
          <w:lang w:val="en-US"/>
        </w:rPr>
        <w:t>Lets</w:t>
      </w:r>
      <w:r w:rsidRPr="006305E7">
        <w:rPr>
          <w:rFonts w:ascii="Bookman Old Style" w:hAnsi="Bookman Old Style"/>
          <w:sz w:val="28"/>
          <w:szCs w:val="28"/>
          <w:lang w:val="en-US"/>
        </w:rPr>
        <w:t>ika</w:t>
      </w:r>
      <w:proofErr w:type="spellEnd"/>
      <w:r w:rsidRPr="006305E7">
        <w:rPr>
          <w:rFonts w:ascii="Bookman Old Style" w:hAnsi="Bookman Old Style"/>
          <w:sz w:val="28"/>
          <w:szCs w:val="28"/>
          <w:lang w:val="en-US"/>
        </w:rPr>
        <w:t xml:space="preserve"> for the </w:t>
      </w:r>
      <w:r w:rsidR="00903394" w:rsidRPr="006305E7">
        <w:rPr>
          <w:rFonts w:ascii="Bookman Old Style" w:hAnsi="Bookman Old Style"/>
          <w:sz w:val="28"/>
          <w:szCs w:val="28"/>
          <w:lang w:val="en-US"/>
        </w:rPr>
        <w:t>L</w:t>
      </w:r>
      <w:r w:rsidRPr="006305E7">
        <w:rPr>
          <w:rFonts w:ascii="Bookman Old Style" w:hAnsi="Bookman Old Style"/>
          <w:sz w:val="28"/>
          <w:szCs w:val="28"/>
          <w:lang w:val="en-US"/>
        </w:rPr>
        <w:t>iquidators that</w:t>
      </w:r>
      <w:r w:rsidR="00903394" w:rsidRPr="006305E7">
        <w:rPr>
          <w:rFonts w:ascii="Bookman Old Style" w:hAnsi="Bookman Old Style"/>
          <w:sz w:val="28"/>
          <w:szCs w:val="28"/>
          <w:lang w:val="en-US"/>
        </w:rPr>
        <w:t xml:space="preserve">, in the absence of a condonation application for </w:t>
      </w:r>
      <w:r w:rsidR="006F45A9" w:rsidRPr="006305E7">
        <w:rPr>
          <w:rFonts w:ascii="Bookman Old Style" w:hAnsi="Bookman Old Style"/>
          <w:sz w:val="28"/>
          <w:szCs w:val="28"/>
          <w:lang w:val="en-US"/>
        </w:rPr>
        <w:t>its late prosecution,</w:t>
      </w:r>
      <w:r w:rsidRPr="006305E7">
        <w:rPr>
          <w:rFonts w:ascii="Bookman Old Style" w:hAnsi="Bookman Old Style"/>
          <w:sz w:val="28"/>
          <w:szCs w:val="28"/>
          <w:lang w:val="en-US"/>
        </w:rPr>
        <w:t xml:space="preserve"> the cross-appeal falls to be struck off the roll, with costs.</w:t>
      </w:r>
    </w:p>
    <w:p w14:paraId="4EF0EC83" w14:textId="77777777" w:rsidR="00BD7561" w:rsidRDefault="00BD7561" w:rsidP="00BD7561">
      <w:pPr>
        <w:pStyle w:val="ListParagraph"/>
        <w:rPr>
          <w:rFonts w:ascii="Bookman Old Style" w:hAnsi="Bookman Old Style"/>
          <w:sz w:val="28"/>
          <w:szCs w:val="28"/>
          <w:u w:val="single"/>
          <w:lang w:val="en-US"/>
        </w:rPr>
      </w:pPr>
    </w:p>
    <w:p w14:paraId="0BAE4A04" w14:textId="77777777" w:rsidR="00BD7561" w:rsidRDefault="00037F50" w:rsidP="00BD7561">
      <w:pPr>
        <w:tabs>
          <w:tab w:val="left" w:pos="851"/>
        </w:tabs>
        <w:spacing w:line="360" w:lineRule="auto"/>
        <w:contextualSpacing/>
        <w:jc w:val="both"/>
        <w:rPr>
          <w:rFonts w:ascii="Bookman Old Style" w:hAnsi="Bookman Old Style"/>
          <w:sz w:val="28"/>
          <w:szCs w:val="28"/>
          <w:u w:val="single"/>
          <w:lang w:val="en-US"/>
        </w:rPr>
      </w:pPr>
      <w:r w:rsidRPr="00BD7561">
        <w:rPr>
          <w:rFonts w:ascii="Bookman Old Style" w:hAnsi="Bookman Old Style"/>
          <w:sz w:val="28"/>
          <w:szCs w:val="28"/>
          <w:u w:val="single"/>
          <w:lang w:val="en-US"/>
        </w:rPr>
        <w:t>L</w:t>
      </w:r>
      <w:r w:rsidR="00F34AD5" w:rsidRPr="00BD7561">
        <w:rPr>
          <w:rFonts w:ascii="Bookman Old Style" w:hAnsi="Bookman Old Style"/>
          <w:sz w:val="28"/>
          <w:szCs w:val="28"/>
          <w:u w:val="single"/>
          <w:lang w:val="en-US"/>
        </w:rPr>
        <w:t>iquidators appeal</w:t>
      </w:r>
    </w:p>
    <w:p w14:paraId="217B73FD" w14:textId="77777777" w:rsidR="00AB5CFA" w:rsidRDefault="00AB5CFA" w:rsidP="00BD7561">
      <w:pPr>
        <w:tabs>
          <w:tab w:val="left" w:pos="851"/>
        </w:tabs>
        <w:spacing w:line="360" w:lineRule="auto"/>
        <w:contextualSpacing/>
        <w:jc w:val="both"/>
        <w:rPr>
          <w:rFonts w:ascii="Bookman Old Style" w:hAnsi="Bookman Old Style"/>
          <w:sz w:val="28"/>
          <w:szCs w:val="28"/>
          <w:lang w:val="en-US"/>
        </w:rPr>
      </w:pPr>
    </w:p>
    <w:p w14:paraId="385A2890" w14:textId="3B3954C8" w:rsidR="00BD7561" w:rsidRPr="00045B6D" w:rsidRDefault="00F34AD5" w:rsidP="00BD7561">
      <w:pPr>
        <w:numPr>
          <w:ilvl w:val="0"/>
          <w:numId w:val="14"/>
        </w:numPr>
        <w:tabs>
          <w:tab w:val="left" w:pos="851"/>
        </w:tabs>
        <w:spacing w:line="360" w:lineRule="auto"/>
        <w:ind w:left="0" w:hanging="11"/>
        <w:contextualSpacing/>
        <w:jc w:val="both"/>
        <w:rPr>
          <w:rFonts w:ascii="Bookman Old Style" w:hAnsi="Bookman Old Style"/>
          <w:sz w:val="28"/>
          <w:szCs w:val="28"/>
          <w:lang w:val="en-US"/>
        </w:rPr>
      </w:pPr>
      <w:r w:rsidRPr="00045B6D">
        <w:rPr>
          <w:rFonts w:ascii="Bookman Old Style" w:hAnsi="Bookman Old Style"/>
          <w:sz w:val="28"/>
          <w:szCs w:val="28"/>
          <w:lang w:val="en-US"/>
        </w:rPr>
        <w:t xml:space="preserve">It now remains to consider the </w:t>
      </w:r>
      <w:r w:rsidR="006F45A9" w:rsidRPr="00045B6D">
        <w:rPr>
          <w:rFonts w:ascii="Bookman Old Style" w:hAnsi="Bookman Old Style"/>
          <w:sz w:val="28"/>
          <w:szCs w:val="28"/>
          <w:lang w:val="en-US"/>
        </w:rPr>
        <w:t>L</w:t>
      </w:r>
      <w:r w:rsidRPr="00045B6D">
        <w:rPr>
          <w:rFonts w:ascii="Bookman Old Style" w:hAnsi="Bookman Old Style"/>
          <w:sz w:val="28"/>
          <w:szCs w:val="28"/>
          <w:lang w:val="en-US"/>
        </w:rPr>
        <w:t>iquidators’ appeal. That calls for an analysis of the High Court’s reasons and orders</w:t>
      </w:r>
      <w:r w:rsidR="00045B6D">
        <w:rPr>
          <w:rFonts w:ascii="Bookman Old Style" w:hAnsi="Bookman Old Style"/>
          <w:sz w:val="28"/>
          <w:szCs w:val="28"/>
          <w:lang w:val="en-US"/>
        </w:rPr>
        <w:t xml:space="preserve"> in s</w:t>
      </w:r>
      <w:r w:rsidR="00AB5CFA">
        <w:rPr>
          <w:rFonts w:ascii="Bookman Old Style" w:hAnsi="Bookman Old Style"/>
          <w:sz w:val="28"/>
          <w:szCs w:val="28"/>
          <w:lang w:val="en-US"/>
        </w:rPr>
        <w:t>o far as it is relevant to the L</w:t>
      </w:r>
      <w:r w:rsidR="00045B6D">
        <w:rPr>
          <w:rFonts w:ascii="Bookman Old Style" w:hAnsi="Bookman Old Style"/>
          <w:sz w:val="28"/>
          <w:szCs w:val="28"/>
          <w:lang w:val="en-US"/>
        </w:rPr>
        <w:t>iquidators’ appeal grounds</w:t>
      </w:r>
      <w:r w:rsidRPr="00045B6D">
        <w:rPr>
          <w:rFonts w:ascii="Bookman Old Style" w:hAnsi="Bookman Old Style"/>
          <w:sz w:val="28"/>
          <w:szCs w:val="28"/>
          <w:lang w:val="en-US"/>
        </w:rPr>
        <w:t>.</w:t>
      </w:r>
      <w:r w:rsidR="002D0D67" w:rsidRPr="00045B6D">
        <w:rPr>
          <w:rFonts w:ascii="Bookman Old Style" w:hAnsi="Bookman Old Style"/>
          <w:sz w:val="28"/>
          <w:szCs w:val="28"/>
          <w:lang w:val="en-US"/>
        </w:rPr>
        <w:t xml:space="preserve"> </w:t>
      </w:r>
    </w:p>
    <w:p w14:paraId="75D2DD1F" w14:textId="77777777" w:rsidR="00BD7561" w:rsidRDefault="00BD7561" w:rsidP="00BD7561">
      <w:pPr>
        <w:tabs>
          <w:tab w:val="left" w:pos="851"/>
        </w:tabs>
        <w:spacing w:line="360" w:lineRule="auto"/>
        <w:contextualSpacing/>
        <w:jc w:val="both"/>
        <w:rPr>
          <w:rFonts w:ascii="Bookman Old Style" w:hAnsi="Bookman Old Style"/>
          <w:sz w:val="28"/>
          <w:szCs w:val="28"/>
          <w:lang w:val="en-US"/>
        </w:rPr>
      </w:pPr>
    </w:p>
    <w:p w14:paraId="226D7504" w14:textId="12AE2788" w:rsidR="00910F1A" w:rsidRPr="00AB5CFA" w:rsidRDefault="00BD7561" w:rsidP="00B828AB">
      <w:pPr>
        <w:numPr>
          <w:ilvl w:val="0"/>
          <w:numId w:val="14"/>
        </w:numPr>
        <w:tabs>
          <w:tab w:val="left" w:pos="851"/>
        </w:tabs>
        <w:spacing w:line="360" w:lineRule="auto"/>
        <w:ind w:left="0" w:hanging="11"/>
        <w:contextualSpacing/>
        <w:jc w:val="both"/>
        <w:rPr>
          <w:rFonts w:ascii="Bookman Old Style" w:hAnsi="Bookman Old Style"/>
          <w:sz w:val="28"/>
          <w:szCs w:val="28"/>
          <w:lang w:val="en-US"/>
        </w:rPr>
      </w:pPr>
      <w:r w:rsidRPr="00A93EBB">
        <w:rPr>
          <w:rFonts w:ascii="Bookman Old Style" w:eastAsia="Times New Roman" w:hAnsi="Bookman Old Style" w:cs="Times New Roman"/>
          <w:kern w:val="36"/>
          <w:sz w:val="28"/>
          <w:szCs w:val="28"/>
        </w:rPr>
        <w:t xml:space="preserve">Correctly recognising that the CA </w:t>
      </w:r>
      <w:r w:rsidR="00045B6D">
        <w:rPr>
          <w:rFonts w:ascii="Bookman Old Style" w:eastAsia="Times New Roman" w:hAnsi="Bookman Old Style" w:cs="Times New Roman"/>
          <w:kern w:val="36"/>
          <w:sz w:val="28"/>
          <w:szCs w:val="28"/>
        </w:rPr>
        <w:t xml:space="preserve">2011 </w:t>
      </w:r>
      <w:r w:rsidRPr="00A93EBB">
        <w:rPr>
          <w:rFonts w:ascii="Bookman Old Style" w:eastAsia="Times New Roman" w:hAnsi="Bookman Old Style" w:cs="Times New Roman"/>
          <w:kern w:val="36"/>
          <w:sz w:val="28"/>
          <w:szCs w:val="28"/>
        </w:rPr>
        <w:t xml:space="preserve">makes no mention of a provisional liquidator, </w:t>
      </w:r>
      <w:proofErr w:type="spellStart"/>
      <w:r w:rsidRPr="00A93EBB">
        <w:rPr>
          <w:rFonts w:ascii="Bookman Old Style" w:eastAsia="Times New Roman" w:hAnsi="Bookman Old Style" w:cs="Times New Roman"/>
          <w:kern w:val="36"/>
          <w:sz w:val="28"/>
          <w:szCs w:val="28"/>
        </w:rPr>
        <w:t>Molete</w:t>
      </w:r>
      <w:proofErr w:type="spellEnd"/>
      <w:r w:rsidRPr="00A93EBB">
        <w:rPr>
          <w:rFonts w:ascii="Bookman Old Style" w:eastAsia="Times New Roman" w:hAnsi="Bookman Old Style" w:cs="Times New Roman"/>
          <w:kern w:val="36"/>
          <w:sz w:val="28"/>
          <w:szCs w:val="28"/>
        </w:rPr>
        <w:t xml:space="preserve"> J asked himself what the implication is of the omissi</w:t>
      </w:r>
      <w:r w:rsidR="00045B6D">
        <w:rPr>
          <w:rFonts w:ascii="Bookman Old Style" w:eastAsia="Times New Roman" w:hAnsi="Bookman Old Style" w:cs="Times New Roman"/>
          <w:kern w:val="36"/>
          <w:sz w:val="28"/>
          <w:szCs w:val="28"/>
        </w:rPr>
        <w:t>on against the backdrop of the L</w:t>
      </w:r>
      <w:r w:rsidRPr="00A93EBB">
        <w:rPr>
          <w:rFonts w:ascii="Bookman Old Style" w:eastAsia="Times New Roman" w:hAnsi="Bookman Old Style" w:cs="Times New Roman"/>
          <w:kern w:val="36"/>
          <w:sz w:val="28"/>
          <w:szCs w:val="28"/>
        </w:rPr>
        <w:t>iquidators’ assertion that</w:t>
      </w:r>
      <w:r w:rsidR="00045B6D">
        <w:rPr>
          <w:rFonts w:ascii="Bookman Old Style" w:eastAsia="Times New Roman" w:hAnsi="Bookman Old Style" w:cs="Times New Roman"/>
          <w:kern w:val="36"/>
          <w:sz w:val="28"/>
          <w:szCs w:val="28"/>
        </w:rPr>
        <w:t xml:space="preserve"> the omission implied that the M</w:t>
      </w:r>
      <w:r w:rsidRPr="00A93EBB">
        <w:rPr>
          <w:rFonts w:ascii="Bookman Old Style" w:eastAsia="Times New Roman" w:hAnsi="Bookman Old Style" w:cs="Times New Roman"/>
          <w:kern w:val="36"/>
          <w:sz w:val="28"/>
          <w:szCs w:val="28"/>
        </w:rPr>
        <w:t>aster was not required to call a first meeting of creditors for the twin purposes of:</w:t>
      </w:r>
      <w:r w:rsidR="00B828AB">
        <w:rPr>
          <w:rFonts w:ascii="Bookman Old Style" w:hAnsi="Bookman Old Style"/>
          <w:sz w:val="28"/>
          <w:szCs w:val="28"/>
          <w:lang w:val="en-US"/>
        </w:rPr>
        <w:t xml:space="preserve"> </w:t>
      </w:r>
      <w:r w:rsidR="00910F1A" w:rsidRPr="00B828AB">
        <w:rPr>
          <w:rFonts w:ascii="Bookman Old Style" w:eastAsia="Times New Roman" w:hAnsi="Bookman Old Style" w:cs="Times New Roman"/>
          <w:sz w:val="28"/>
          <w:szCs w:val="28"/>
        </w:rPr>
        <w:t>proof of claims</w:t>
      </w:r>
      <w:r w:rsidR="00B828AB">
        <w:rPr>
          <w:rFonts w:ascii="Bookman Old Style" w:hAnsi="Bookman Old Style"/>
          <w:sz w:val="28"/>
          <w:szCs w:val="28"/>
          <w:lang w:val="en-US"/>
        </w:rPr>
        <w:t xml:space="preserve"> </w:t>
      </w:r>
      <w:r w:rsidR="00910F1A" w:rsidRPr="00B828AB">
        <w:rPr>
          <w:rFonts w:ascii="Bookman Old Style" w:eastAsia="Times New Roman" w:hAnsi="Bookman Old Style" w:cs="Times New Roman"/>
          <w:sz w:val="28"/>
          <w:szCs w:val="28"/>
        </w:rPr>
        <w:t xml:space="preserve">and </w:t>
      </w:r>
      <w:r w:rsidR="00910F1A" w:rsidRPr="00AB5CFA">
        <w:rPr>
          <w:rFonts w:ascii="Bookman Old Style" w:eastAsia="Times New Roman" w:hAnsi="Bookman Old Style" w:cs="Times New Roman"/>
          <w:sz w:val="28"/>
          <w:szCs w:val="28"/>
        </w:rPr>
        <w:t>the election of a trustee (or liquidator).</w:t>
      </w:r>
    </w:p>
    <w:p w14:paraId="5C2EDEA3" w14:textId="77777777" w:rsidR="00910F1A" w:rsidRPr="00A93EBB" w:rsidRDefault="00910F1A" w:rsidP="00910F1A">
      <w:pPr>
        <w:pStyle w:val="ListParagraph"/>
        <w:rPr>
          <w:rFonts w:ascii="Bookman Old Style" w:eastAsia="Times New Roman" w:hAnsi="Bookman Old Style" w:cs="Times New Roman"/>
          <w:sz w:val="28"/>
          <w:szCs w:val="28"/>
        </w:rPr>
      </w:pPr>
    </w:p>
    <w:p w14:paraId="0D1FF84C" w14:textId="77777777" w:rsidR="00BD7561" w:rsidRPr="00B828AB" w:rsidRDefault="00BD7561" w:rsidP="00B828AB">
      <w:pPr>
        <w:numPr>
          <w:ilvl w:val="0"/>
          <w:numId w:val="14"/>
        </w:numPr>
        <w:tabs>
          <w:tab w:val="left" w:pos="851"/>
        </w:tabs>
        <w:spacing w:line="360" w:lineRule="auto"/>
        <w:ind w:left="0" w:hanging="11"/>
        <w:contextualSpacing/>
        <w:jc w:val="both"/>
        <w:rPr>
          <w:rFonts w:ascii="Bookman Old Style" w:hAnsi="Bookman Old Style"/>
          <w:sz w:val="28"/>
          <w:szCs w:val="28"/>
          <w:lang w:val="en-US"/>
        </w:rPr>
      </w:pPr>
      <w:r w:rsidRPr="00A93EBB">
        <w:rPr>
          <w:rFonts w:ascii="Bookman Old Style" w:eastAsia="Times New Roman" w:hAnsi="Bookman Old Style" w:cs="Times New Roman"/>
          <w:sz w:val="28"/>
          <w:szCs w:val="28"/>
        </w:rPr>
        <w:t>The learned judge concluded that because s 124 of the CA</w:t>
      </w:r>
      <w:r w:rsidR="00B828AB">
        <w:rPr>
          <w:rFonts w:ascii="Bookman Old Style" w:eastAsia="Times New Roman" w:hAnsi="Bookman Old Style" w:cs="Times New Roman"/>
          <w:sz w:val="28"/>
          <w:szCs w:val="28"/>
        </w:rPr>
        <w:t xml:space="preserve"> 2011</w:t>
      </w:r>
      <w:r w:rsidRPr="00A93EBB">
        <w:rPr>
          <w:rFonts w:ascii="Bookman Old Style" w:eastAsia="Times New Roman" w:hAnsi="Bookman Old Style" w:cs="Times New Roman"/>
          <w:sz w:val="28"/>
          <w:szCs w:val="28"/>
        </w:rPr>
        <w:t xml:space="preserve"> by reference incorporates the I</w:t>
      </w:r>
      <w:r w:rsidR="00B828AB">
        <w:rPr>
          <w:rFonts w:ascii="Bookman Old Style" w:eastAsia="Times New Roman" w:hAnsi="Bookman Old Style" w:cs="Times New Roman"/>
          <w:sz w:val="28"/>
          <w:szCs w:val="28"/>
        </w:rPr>
        <w:t xml:space="preserve">nsolvency </w:t>
      </w:r>
      <w:r w:rsidRPr="00A93EBB">
        <w:rPr>
          <w:rFonts w:ascii="Bookman Old Style" w:eastAsia="Times New Roman" w:hAnsi="Bookman Old Style" w:cs="Times New Roman"/>
          <w:sz w:val="28"/>
          <w:szCs w:val="28"/>
        </w:rPr>
        <w:t>P</w:t>
      </w:r>
      <w:r w:rsidR="00B828AB">
        <w:rPr>
          <w:rFonts w:ascii="Bookman Old Style" w:eastAsia="Times New Roman" w:hAnsi="Bookman Old Style" w:cs="Times New Roman"/>
          <w:sz w:val="28"/>
          <w:szCs w:val="28"/>
        </w:rPr>
        <w:t>roclamation 1957</w:t>
      </w:r>
      <w:r w:rsidRPr="00B828AB">
        <w:rPr>
          <w:rFonts w:ascii="Bookman Old Style" w:eastAsia="Times New Roman" w:hAnsi="Bookman Old Style" w:cs="Times New Roman"/>
          <w:sz w:val="28"/>
          <w:szCs w:val="28"/>
        </w:rPr>
        <w:t xml:space="preserve"> in respect of ‘meetings of creditors’ (</w:t>
      </w:r>
      <w:r w:rsidRPr="00B828AB">
        <w:rPr>
          <w:rFonts w:ascii="Bookman Old Style" w:eastAsia="Times New Roman" w:hAnsi="Bookman Old Style" w:cs="Times New Roman"/>
          <w:i/>
          <w:sz w:val="28"/>
          <w:szCs w:val="28"/>
        </w:rPr>
        <w:t>vide</w:t>
      </w:r>
      <w:r w:rsidRPr="00B828AB">
        <w:rPr>
          <w:rFonts w:ascii="Bookman Old Style" w:eastAsia="Times New Roman" w:hAnsi="Bookman Old Style" w:cs="Times New Roman"/>
          <w:sz w:val="28"/>
          <w:szCs w:val="28"/>
        </w:rPr>
        <w:t xml:space="preserve"> s 124</w:t>
      </w:r>
      <w:r w:rsidR="002B5BA2">
        <w:rPr>
          <w:rFonts w:ascii="Bookman Old Style" w:eastAsia="Times New Roman" w:hAnsi="Bookman Old Style" w:cs="Times New Roman"/>
          <w:sz w:val="28"/>
          <w:szCs w:val="28"/>
        </w:rPr>
        <w:t>)</w:t>
      </w:r>
      <w:r w:rsidR="00B828AB">
        <w:rPr>
          <w:rStyle w:val="FootnoteReference"/>
          <w:rFonts w:ascii="Bookman Old Style" w:eastAsia="Times New Roman" w:hAnsi="Bookman Old Style" w:cs="Times New Roman"/>
          <w:sz w:val="28"/>
          <w:szCs w:val="28"/>
        </w:rPr>
        <w:footnoteReference w:id="1"/>
      </w:r>
      <w:r w:rsidRPr="00B828AB">
        <w:rPr>
          <w:rFonts w:ascii="Bookman Old Style" w:eastAsia="Times New Roman" w:hAnsi="Bookman Old Style" w:cs="Times New Roman"/>
          <w:sz w:val="28"/>
          <w:szCs w:val="28"/>
        </w:rPr>
        <w:t xml:space="preserve"> the first meeting </w:t>
      </w:r>
      <w:r w:rsidRPr="00B828AB">
        <w:rPr>
          <w:rFonts w:ascii="Bookman Old Style" w:eastAsia="Times New Roman" w:hAnsi="Bookman Old Style" w:cs="Times New Roman"/>
          <w:sz w:val="28"/>
          <w:szCs w:val="28"/>
        </w:rPr>
        <w:lastRenderedPageBreak/>
        <w:t>of creditors is envisaged under the scheme of the CA</w:t>
      </w:r>
      <w:r w:rsidR="00B828AB">
        <w:rPr>
          <w:rFonts w:ascii="Bookman Old Style" w:eastAsia="Times New Roman" w:hAnsi="Bookman Old Style" w:cs="Times New Roman"/>
          <w:sz w:val="28"/>
          <w:szCs w:val="28"/>
        </w:rPr>
        <w:t xml:space="preserve"> 2011</w:t>
      </w:r>
      <w:r w:rsidRPr="00B828AB">
        <w:rPr>
          <w:rFonts w:ascii="Bookman Old Style" w:eastAsia="Times New Roman" w:hAnsi="Bookman Old Style" w:cs="Times New Roman"/>
          <w:sz w:val="28"/>
          <w:szCs w:val="28"/>
        </w:rPr>
        <w:t xml:space="preserve">. According to the learned judge, </w:t>
      </w:r>
      <w:r w:rsidR="0058700F">
        <w:rPr>
          <w:rFonts w:ascii="Bookman Old Style" w:eastAsia="Times New Roman" w:hAnsi="Bookman Old Style" w:cs="Times New Roman"/>
          <w:sz w:val="28"/>
          <w:szCs w:val="28"/>
        </w:rPr>
        <w:t>where the M</w:t>
      </w:r>
      <w:r w:rsidRPr="00B828AB">
        <w:rPr>
          <w:rFonts w:ascii="Bookman Old Style" w:eastAsia="Times New Roman" w:hAnsi="Bookman Old Style" w:cs="Times New Roman"/>
          <w:sz w:val="28"/>
          <w:szCs w:val="28"/>
        </w:rPr>
        <w:t xml:space="preserve">aster appoints or nominates a liquidator ‘that does not preclude the general body of creditors from exercising their right to “elect” a liquidator. It therefore becomes inconsequential </w:t>
      </w:r>
      <w:proofErr w:type="gramStart"/>
      <w:r w:rsidRPr="00B828AB">
        <w:rPr>
          <w:rFonts w:ascii="Bookman Old Style" w:eastAsia="Times New Roman" w:hAnsi="Bookman Old Style" w:cs="Times New Roman"/>
          <w:sz w:val="28"/>
          <w:szCs w:val="28"/>
        </w:rPr>
        <w:t>whether or not</w:t>
      </w:r>
      <w:proofErr w:type="gramEnd"/>
      <w:r w:rsidRPr="00B828AB">
        <w:rPr>
          <w:rFonts w:ascii="Bookman Old Style" w:eastAsia="Times New Roman" w:hAnsi="Bookman Old Style" w:cs="Times New Roman"/>
          <w:sz w:val="28"/>
          <w:szCs w:val="28"/>
        </w:rPr>
        <w:t xml:space="preserve"> the word “provisional liquidator” is found’ in the Companies Act 2011’. </w:t>
      </w:r>
    </w:p>
    <w:p w14:paraId="1E85305C" w14:textId="77777777" w:rsidR="00BD7561" w:rsidRPr="00A93EBB" w:rsidRDefault="00BD7561" w:rsidP="00BD7561">
      <w:pPr>
        <w:pStyle w:val="ListParagraph"/>
        <w:rPr>
          <w:rFonts w:ascii="Bookman Old Style" w:eastAsia="Times New Roman" w:hAnsi="Bookman Old Style" w:cs="Times New Roman"/>
          <w:sz w:val="28"/>
          <w:szCs w:val="28"/>
        </w:rPr>
      </w:pPr>
    </w:p>
    <w:p w14:paraId="769D0E76" w14:textId="3E2F4E92" w:rsidR="00BD7561" w:rsidRPr="00A93EBB" w:rsidRDefault="00BD7561" w:rsidP="00BD7561">
      <w:pPr>
        <w:numPr>
          <w:ilvl w:val="0"/>
          <w:numId w:val="14"/>
        </w:numPr>
        <w:tabs>
          <w:tab w:val="left" w:pos="851"/>
        </w:tabs>
        <w:spacing w:line="360" w:lineRule="auto"/>
        <w:ind w:left="0" w:hanging="11"/>
        <w:contextualSpacing/>
        <w:jc w:val="both"/>
        <w:rPr>
          <w:rFonts w:ascii="Bookman Old Style" w:hAnsi="Bookman Old Style"/>
          <w:sz w:val="28"/>
          <w:szCs w:val="28"/>
          <w:lang w:val="en-US"/>
        </w:rPr>
      </w:pPr>
      <w:proofErr w:type="spellStart"/>
      <w:r w:rsidRPr="00A93EBB">
        <w:rPr>
          <w:rFonts w:ascii="Bookman Old Style" w:eastAsia="Times New Roman" w:hAnsi="Bookman Old Style" w:cs="Times New Roman"/>
          <w:sz w:val="28"/>
          <w:szCs w:val="28"/>
        </w:rPr>
        <w:t>Molete</w:t>
      </w:r>
      <w:proofErr w:type="spellEnd"/>
      <w:r w:rsidRPr="00A93EBB">
        <w:rPr>
          <w:rFonts w:ascii="Bookman Old Style" w:eastAsia="Times New Roman" w:hAnsi="Bookman Old Style" w:cs="Times New Roman"/>
          <w:sz w:val="28"/>
          <w:szCs w:val="28"/>
        </w:rPr>
        <w:t xml:space="preserve"> J </w:t>
      </w:r>
      <w:r w:rsidR="00AB5CFA">
        <w:rPr>
          <w:rFonts w:ascii="Bookman Old Style" w:eastAsia="Times New Roman" w:hAnsi="Bookman Old Style" w:cs="Times New Roman"/>
          <w:sz w:val="28"/>
          <w:szCs w:val="28"/>
        </w:rPr>
        <w:t xml:space="preserve">then </w:t>
      </w:r>
      <w:r w:rsidRPr="00A93EBB">
        <w:rPr>
          <w:rFonts w:ascii="Bookman Old Style" w:eastAsia="Times New Roman" w:hAnsi="Bookman Old Style" w:cs="Times New Roman"/>
          <w:sz w:val="28"/>
          <w:szCs w:val="28"/>
        </w:rPr>
        <w:t xml:space="preserve">proceeded to consider the Banks’ claim that they remain the owners of the hire-purchase assets even after </w:t>
      </w:r>
      <w:proofErr w:type="spellStart"/>
      <w:r w:rsidRPr="00A93EBB">
        <w:rPr>
          <w:rFonts w:ascii="Bookman Old Style" w:eastAsia="Times New Roman" w:hAnsi="Bookman Old Style" w:cs="Times New Roman"/>
          <w:sz w:val="28"/>
          <w:szCs w:val="28"/>
        </w:rPr>
        <w:t>Thotanyana</w:t>
      </w:r>
      <w:proofErr w:type="spellEnd"/>
      <w:r w:rsidRPr="00A93EBB">
        <w:rPr>
          <w:rFonts w:ascii="Bookman Old Style" w:eastAsia="Times New Roman" w:hAnsi="Bookman Old Style" w:cs="Times New Roman"/>
          <w:sz w:val="28"/>
          <w:szCs w:val="28"/>
        </w:rPr>
        <w:t xml:space="preserve"> was placed under liquidation. The judge placed reliance on s 135(3) of the CA </w:t>
      </w:r>
      <w:r w:rsidR="00B828AB">
        <w:rPr>
          <w:rFonts w:ascii="Bookman Old Style" w:eastAsia="Times New Roman" w:hAnsi="Bookman Old Style" w:cs="Times New Roman"/>
          <w:sz w:val="28"/>
          <w:szCs w:val="28"/>
        </w:rPr>
        <w:t xml:space="preserve">2011 </w:t>
      </w:r>
      <w:r w:rsidRPr="00A93EBB">
        <w:rPr>
          <w:rFonts w:ascii="Bookman Old Style" w:eastAsia="Times New Roman" w:hAnsi="Bookman Old Style" w:cs="Times New Roman"/>
          <w:sz w:val="28"/>
          <w:szCs w:val="28"/>
        </w:rPr>
        <w:t>to resolve that dispute. The section provides as follows:</w:t>
      </w:r>
    </w:p>
    <w:p w14:paraId="0240CB4B" w14:textId="77777777" w:rsidR="00BD7561" w:rsidRPr="00A93EBB" w:rsidRDefault="00BD7561" w:rsidP="00BD7561">
      <w:pPr>
        <w:tabs>
          <w:tab w:val="left" w:pos="851"/>
        </w:tabs>
        <w:spacing w:line="360" w:lineRule="auto"/>
        <w:contextualSpacing/>
        <w:jc w:val="both"/>
        <w:rPr>
          <w:rFonts w:ascii="Bookman Old Style" w:eastAsia="Times New Roman" w:hAnsi="Bookman Old Style" w:cs="Times New Roman"/>
          <w:sz w:val="28"/>
          <w:szCs w:val="28"/>
        </w:rPr>
      </w:pPr>
    </w:p>
    <w:p w14:paraId="0AC3AAA1" w14:textId="77777777" w:rsidR="00BD7561" w:rsidRPr="00A93EBB" w:rsidRDefault="00BD7561" w:rsidP="008C1BB2">
      <w:pPr>
        <w:ind w:left="851"/>
        <w:jc w:val="both"/>
        <w:rPr>
          <w:rFonts w:ascii="Bookman Old Style" w:eastAsia="Times New Roman" w:hAnsi="Bookman Old Style" w:cs="Times New Roman"/>
        </w:rPr>
      </w:pPr>
      <w:r w:rsidRPr="00A93EBB">
        <w:rPr>
          <w:rFonts w:ascii="Bookman Old Style" w:eastAsia="Times New Roman" w:hAnsi="Bookman Old Style" w:cs="Times New Roman"/>
        </w:rPr>
        <w:t xml:space="preserve">“A secured creditor may – </w:t>
      </w:r>
    </w:p>
    <w:p w14:paraId="0F75A6AE" w14:textId="77777777" w:rsidR="00BD7561" w:rsidRPr="00A93EBB" w:rsidRDefault="00BD7561" w:rsidP="00BD7561">
      <w:pPr>
        <w:jc w:val="both"/>
        <w:rPr>
          <w:rFonts w:ascii="Bookman Old Style" w:eastAsia="Times New Roman" w:hAnsi="Bookman Old Style" w:cs="Times New Roman"/>
        </w:rPr>
      </w:pPr>
    </w:p>
    <w:p w14:paraId="2F88108F" w14:textId="77777777" w:rsidR="00BD7561" w:rsidRPr="00A93EBB" w:rsidRDefault="00BD7561" w:rsidP="00910F1A">
      <w:pPr>
        <w:pStyle w:val="ListParagraph"/>
        <w:numPr>
          <w:ilvl w:val="0"/>
          <w:numId w:val="17"/>
        </w:numPr>
        <w:ind w:left="1418" w:hanging="567"/>
        <w:jc w:val="both"/>
        <w:rPr>
          <w:rFonts w:ascii="Bookman Old Style" w:eastAsia="Times New Roman" w:hAnsi="Bookman Old Style" w:cs="Times New Roman"/>
        </w:rPr>
      </w:pPr>
      <w:r w:rsidRPr="00A93EBB">
        <w:rPr>
          <w:rFonts w:ascii="Bookman Old Style" w:eastAsia="Times New Roman" w:hAnsi="Bookman Old Style" w:cs="Times New Roman"/>
        </w:rPr>
        <w:t>Realise any property subject to a charge; if entitled to do so</w:t>
      </w:r>
    </w:p>
    <w:p w14:paraId="11F000C0" w14:textId="77777777" w:rsidR="00910F1A" w:rsidRPr="00A93EBB" w:rsidRDefault="00910F1A" w:rsidP="00910F1A">
      <w:pPr>
        <w:pStyle w:val="ListParagraph"/>
        <w:ind w:left="1418" w:hanging="567"/>
        <w:jc w:val="both"/>
        <w:rPr>
          <w:rFonts w:ascii="Bookman Old Style" w:eastAsia="Times New Roman" w:hAnsi="Bookman Old Style" w:cs="Times New Roman"/>
        </w:rPr>
      </w:pPr>
    </w:p>
    <w:p w14:paraId="3F5989D3" w14:textId="77777777" w:rsidR="00BD7561" w:rsidRPr="00A93EBB" w:rsidRDefault="00BD7561" w:rsidP="00910F1A">
      <w:pPr>
        <w:pStyle w:val="ListParagraph"/>
        <w:numPr>
          <w:ilvl w:val="0"/>
          <w:numId w:val="17"/>
        </w:numPr>
        <w:ind w:left="1418" w:hanging="567"/>
        <w:jc w:val="both"/>
        <w:rPr>
          <w:rFonts w:ascii="Bookman Old Style" w:eastAsia="Times New Roman" w:hAnsi="Bookman Old Style" w:cs="Times New Roman"/>
        </w:rPr>
      </w:pPr>
      <w:r w:rsidRPr="00A93EBB">
        <w:rPr>
          <w:rFonts w:ascii="Bookman Old Style" w:eastAsia="Times New Roman" w:hAnsi="Bookman Old Style" w:cs="Times New Roman"/>
        </w:rPr>
        <w:t xml:space="preserve">Claim as a secured creditor in the liquidation, or </w:t>
      </w:r>
    </w:p>
    <w:p w14:paraId="69092B18" w14:textId="77777777" w:rsidR="00910F1A" w:rsidRPr="00A93EBB" w:rsidRDefault="00910F1A" w:rsidP="00910F1A">
      <w:pPr>
        <w:ind w:left="1418" w:hanging="567"/>
        <w:jc w:val="both"/>
        <w:rPr>
          <w:rFonts w:ascii="Bookman Old Style" w:eastAsia="Times New Roman" w:hAnsi="Bookman Old Style" w:cs="Times New Roman"/>
        </w:rPr>
      </w:pPr>
    </w:p>
    <w:p w14:paraId="1FC72C29" w14:textId="77777777" w:rsidR="00BD7561" w:rsidRPr="00A93EBB" w:rsidRDefault="00BD7561" w:rsidP="00910F1A">
      <w:pPr>
        <w:pStyle w:val="ListParagraph"/>
        <w:numPr>
          <w:ilvl w:val="0"/>
          <w:numId w:val="17"/>
        </w:numPr>
        <w:ind w:left="1418" w:hanging="567"/>
        <w:jc w:val="both"/>
        <w:rPr>
          <w:rFonts w:ascii="Bookman Old Style" w:eastAsia="Times New Roman" w:hAnsi="Bookman Old Style" w:cs="Times New Roman"/>
        </w:rPr>
      </w:pPr>
      <w:r w:rsidRPr="00A93EBB">
        <w:rPr>
          <w:rFonts w:ascii="Bookman Old Style" w:eastAsia="Times New Roman" w:hAnsi="Bookman Old Style" w:cs="Times New Roman"/>
        </w:rPr>
        <w:t xml:space="preserve">Surrender the charge to the liquidator for the general benefit of </w:t>
      </w:r>
      <w:proofErr w:type="gramStart"/>
      <w:r w:rsidRPr="00A93EBB">
        <w:rPr>
          <w:rFonts w:ascii="Bookman Old Style" w:eastAsia="Times New Roman" w:hAnsi="Bookman Old Style" w:cs="Times New Roman"/>
        </w:rPr>
        <w:t>creditors, and</w:t>
      </w:r>
      <w:proofErr w:type="gramEnd"/>
      <w:r w:rsidRPr="00A93EBB">
        <w:rPr>
          <w:rFonts w:ascii="Bookman Old Style" w:eastAsia="Times New Roman" w:hAnsi="Bookman Old Style" w:cs="Times New Roman"/>
        </w:rPr>
        <w:t xml:space="preserve"> claim in the liquidation as an unsecured creditor for his whole debt”.</w:t>
      </w:r>
    </w:p>
    <w:p w14:paraId="36F5DEB6" w14:textId="77777777" w:rsidR="00BD7561" w:rsidRPr="00A93EBB" w:rsidRDefault="00BD7561" w:rsidP="00BD7561">
      <w:pPr>
        <w:tabs>
          <w:tab w:val="left" w:pos="851"/>
        </w:tabs>
        <w:spacing w:line="360" w:lineRule="auto"/>
        <w:contextualSpacing/>
        <w:jc w:val="both"/>
        <w:rPr>
          <w:rFonts w:ascii="Bookman Old Style" w:hAnsi="Bookman Old Style"/>
          <w:sz w:val="28"/>
          <w:szCs w:val="28"/>
          <w:lang w:val="en-US"/>
        </w:rPr>
      </w:pPr>
    </w:p>
    <w:p w14:paraId="116DC057" w14:textId="079D4336" w:rsidR="00BD7561" w:rsidRPr="00A93EBB" w:rsidRDefault="00BD7561" w:rsidP="000D1B85">
      <w:pPr>
        <w:numPr>
          <w:ilvl w:val="0"/>
          <w:numId w:val="14"/>
        </w:numPr>
        <w:tabs>
          <w:tab w:val="left" w:pos="851"/>
        </w:tabs>
        <w:spacing w:line="360" w:lineRule="auto"/>
        <w:ind w:left="0" w:hanging="11"/>
        <w:contextualSpacing/>
        <w:jc w:val="both"/>
        <w:rPr>
          <w:rFonts w:ascii="Bookman Old Style" w:hAnsi="Bookman Old Style"/>
          <w:sz w:val="28"/>
          <w:szCs w:val="28"/>
          <w:lang w:val="en-US"/>
        </w:rPr>
      </w:pPr>
      <w:r w:rsidRPr="00A93EBB">
        <w:rPr>
          <w:rFonts w:ascii="Bookman Old Style" w:eastAsia="Times New Roman" w:hAnsi="Bookman Old Style" w:cs="Times New Roman"/>
          <w:sz w:val="28"/>
          <w:szCs w:val="28"/>
        </w:rPr>
        <w:lastRenderedPageBreak/>
        <w:t>The judge reasoned that the Banks’ claim to realise the assets could only arise ‘if’ they were ‘entitled to do so.’ Since the “entitlement” was not defined in the CA</w:t>
      </w:r>
      <w:r w:rsidR="00B828AB">
        <w:rPr>
          <w:rFonts w:ascii="Bookman Old Style" w:eastAsia="Times New Roman" w:hAnsi="Bookman Old Style" w:cs="Times New Roman"/>
          <w:sz w:val="28"/>
          <w:szCs w:val="28"/>
        </w:rPr>
        <w:t xml:space="preserve"> 2011</w:t>
      </w:r>
      <w:r w:rsidRPr="00A93EBB">
        <w:rPr>
          <w:rFonts w:ascii="Bookman Old Style" w:eastAsia="Times New Roman" w:hAnsi="Bookman Old Style" w:cs="Times New Roman"/>
          <w:sz w:val="28"/>
          <w:szCs w:val="28"/>
        </w:rPr>
        <w:t>, resort had to be had to the I</w:t>
      </w:r>
      <w:r w:rsidR="00B828AB">
        <w:rPr>
          <w:rFonts w:ascii="Bookman Old Style" w:eastAsia="Times New Roman" w:hAnsi="Bookman Old Style" w:cs="Times New Roman"/>
          <w:sz w:val="28"/>
          <w:szCs w:val="28"/>
        </w:rPr>
        <w:t xml:space="preserve">nsolvency </w:t>
      </w:r>
      <w:r w:rsidRPr="00A93EBB">
        <w:rPr>
          <w:rFonts w:ascii="Bookman Old Style" w:eastAsia="Times New Roman" w:hAnsi="Bookman Old Style" w:cs="Times New Roman"/>
          <w:sz w:val="28"/>
          <w:szCs w:val="28"/>
        </w:rPr>
        <w:t>P</w:t>
      </w:r>
      <w:r w:rsidR="00B828AB">
        <w:rPr>
          <w:rFonts w:ascii="Bookman Old Style" w:eastAsia="Times New Roman" w:hAnsi="Bookman Old Style" w:cs="Times New Roman"/>
          <w:sz w:val="28"/>
          <w:szCs w:val="28"/>
        </w:rPr>
        <w:t>roclamation 1957</w:t>
      </w:r>
      <w:r w:rsidRPr="00A93EBB">
        <w:rPr>
          <w:rFonts w:ascii="Bookman Old Style" w:eastAsia="Times New Roman" w:hAnsi="Bookman Old Style" w:cs="Times New Roman"/>
          <w:sz w:val="28"/>
          <w:szCs w:val="28"/>
        </w:rPr>
        <w:t>. He concluded that the I</w:t>
      </w:r>
      <w:r w:rsidR="00B828AB">
        <w:rPr>
          <w:rFonts w:ascii="Bookman Old Style" w:eastAsia="Times New Roman" w:hAnsi="Bookman Old Style" w:cs="Times New Roman"/>
          <w:sz w:val="28"/>
          <w:szCs w:val="28"/>
        </w:rPr>
        <w:t xml:space="preserve">nsolvency </w:t>
      </w:r>
      <w:r w:rsidRPr="00A93EBB">
        <w:rPr>
          <w:rFonts w:ascii="Bookman Old Style" w:eastAsia="Times New Roman" w:hAnsi="Bookman Old Style" w:cs="Times New Roman"/>
          <w:sz w:val="28"/>
          <w:szCs w:val="28"/>
        </w:rPr>
        <w:t>P</w:t>
      </w:r>
      <w:r w:rsidR="00B828AB">
        <w:rPr>
          <w:rFonts w:ascii="Bookman Old Style" w:eastAsia="Times New Roman" w:hAnsi="Bookman Old Style" w:cs="Times New Roman"/>
          <w:sz w:val="28"/>
          <w:szCs w:val="28"/>
        </w:rPr>
        <w:t>roclamation 1957</w:t>
      </w:r>
      <w:r w:rsidRPr="00A93EBB">
        <w:rPr>
          <w:rFonts w:ascii="Bookman Old Style" w:eastAsia="Times New Roman" w:hAnsi="Bookman Old Style" w:cs="Times New Roman"/>
          <w:sz w:val="28"/>
          <w:szCs w:val="28"/>
        </w:rPr>
        <w:t xml:space="preserve"> does not include a hire-purchase seller such as the </w:t>
      </w:r>
      <w:r w:rsidR="00B828AB">
        <w:rPr>
          <w:rFonts w:ascii="Bookman Old Style" w:eastAsia="Times New Roman" w:hAnsi="Bookman Old Style" w:cs="Times New Roman"/>
          <w:sz w:val="28"/>
          <w:szCs w:val="28"/>
        </w:rPr>
        <w:t>B</w:t>
      </w:r>
      <w:r w:rsidRPr="00A93EBB">
        <w:rPr>
          <w:rFonts w:ascii="Bookman Old Style" w:eastAsia="Times New Roman" w:hAnsi="Bookman Old Style" w:cs="Times New Roman"/>
          <w:sz w:val="28"/>
          <w:szCs w:val="28"/>
        </w:rPr>
        <w:t xml:space="preserve">anks as it mentions only the holder of a </w:t>
      </w:r>
      <w:r w:rsidR="00AB5CFA">
        <w:rPr>
          <w:rFonts w:ascii="Bookman Old Style" w:eastAsia="Times New Roman" w:hAnsi="Bookman Old Style" w:cs="Times New Roman"/>
          <w:sz w:val="28"/>
          <w:szCs w:val="28"/>
        </w:rPr>
        <w:t>promissory note and a holder of</w:t>
      </w:r>
      <w:r w:rsidRPr="00A93EBB">
        <w:rPr>
          <w:rFonts w:ascii="Bookman Old Style" w:eastAsia="Times New Roman" w:hAnsi="Bookman Old Style" w:cs="Times New Roman"/>
          <w:sz w:val="28"/>
          <w:szCs w:val="28"/>
        </w:rPr>
        <w:t xml:space="preserve"> a landlord</w:t>
      </w:r>
      <w:r w:rsidR="00AB5CFA">
        <w:rPr>
          <w:rFonts w:ascii="Bookman Old Style" w:eastAsia="Times New Roman" w:hAnsi="Bookman Old Style" w:cs="Times New Roman"/>
          <w:sz w:val="28"/>
          <w:szCs w:val="28"/>
        </w:rPr>
        <w:t>’s</w:t>
      </w:r>
      <w:r w:rsidRPr="00A93EBB">
        <w:rPr>
          <w:rFonts w:ascii="Bookman Old Style" w:eastAsia="Times New Roman" w:hAnsi="Bookman Old Style" w:cs="Times New Roman"/>
          <w:sz w:val="28"/>
          <w:szCs w:val="28"/>
        </w:rPr>
        <w:t xml:space="preserve"> hypothec.</w:t>
      </w:r>
      <w:r w:rsidR="00B828AB">
        <w:rPr>
          <w:rFonts w:ascii="Bookman Old Style" w:eastAsia="Times New Roman" w:hAnsi="Bookman Old Style" w:cs="Times New Roman"/>
          <w:sz w:val="28"/>
          <w:szCs w:val="28"/>
        </w:rPr>
        <w:t xml:space="preserve"> The result is that the B</w:t>
      </w:r>
      <w:r w:rsidRPr="00A93EBB">
        <w:rPr>
          <w:rFonts w:ascii="Bookman Old Style" w:eastAsia="Times New Roman" w:hAnsi="Bookman Old Style" w:cs="Times New Roman"/>
          <w:sz w:val="28"/>
          <w:szCs w:val="28"/>
        </w:rPr>
        <w:t xml:space="preserve">anks can only claim as secured creditors and even if they are allowed to sell the higher-purchase assets, they were required ‘to pay the whole amount to the liquidators to deal with in terms of the law as part of the liquidation process. The learned judge justified that conclusion on the basis that the ‘Hire-Purchase Seller would be entitled to receive only the balance outstanding in terms of the agreement’. He went on to hold that </w:t>
      </w:r>
      <w:r w:rsidR="00B828AB">
        <w:rPr>
          <w:rFonts w:ascii="Bookman Old Style" w:eastAsia="Times New Roman" w:hAnsi="Bookman Old Style" w:cs="Times New Roman"/>
          <w:sz w:val="28"/>
          <w:szCs w:val="28"/>
        </w:rPr>
        <w:t>‘</w:t>
      </w:r>
      <w:r w:rsidRPr="00A93EBB">
        <w:rPr>
          <w:rFonts w:ascii="Bookman Old Style" w:eastAsia="Times New Roman" w:hAnsi="Bookman Old Style" w:cs="Times New Roman"/>
          <w:sz w:val="28"/>
          <w:szCs w:val="28"/>
        </w:rPr>
        <w:t>even the question of the entitlement of the liquidator</w:t>
      </w:r>
      <w:r w:rsidRPr="00A941BA">
        <w:rPr>
          <w:rFonts w:ascii="Bookman Old Style" w:eastAsia="Times New Roman" w:hAnsi="Bookman Old Style" w:cs="Times New Roman"/>
          <w:sz w:val="28"/>
          <w:szCs w:val="28"/>
        </w:rPr>
        <w:t>s</w:t>
      </w:r>
      <w:r w:rsidRPr="00A93EBB">
        <w:rPr>
          <w:rFonts w:ascii="Bookman Old Style" w:eastAsia="Times New Roman" w:hAnsi="Bookman Old Style" w:cs="Times New Roman"/>
          <w:sz w:val="28"/>
          <w:szCs w:val="28"/>
        </w:rPr>
        <w:t xml:space="preserve"> to be paid from the funds becomes redundant, because the funds are dealt with in the liquidation and distribution account.</w:t>
      </w:r>
      <w:r w:rsidR="00B828AB">
        <w:rPr>
          <w:rFonts w:ascii="Bookman Old Style" w:eastAsia="Times New Roman" w:hAnsi="Bookman Old Style" w:cs="Times New Roman"/>
          <w:sz w:val="28"/>
          <w:szCs w:val="28"/>
        </w:rPr>
        <w:t>’</w:t>
      </w:r>
    </w:p>
    <w:p w14:paraId="3A788360" w14:textId="77777777" w:rsidR="00BD7561" w:rsidRDefault="00BD7561" w:rsidP="00BD7561">
      <w:pPr>
        <w:tabs>
          <w:tab w:val="left" w:pos="851"/>
        </w:tabs>
        <w:spacing w:line="360" w:lineRule="auto"/>
        <w:contextualSpacing/>
        <w:jc w:val="both"/>
        <w:rPr>
          <w:rFonts w:ascii="Bookman Old Style" w:hAnsi="Bookman Old Style"/>
          <w:sz w:val="28"/>
          <w:szCs w:val="28"/>
          <w:lang w:val="en-US"/>
        </w:rPr>
      </w:pPr>
    </w:p>
    <w:p w14:paraId="3C54D570" w14:textId="77777777" w:rsidR="00BD7561" w:rsidRDefault="00037F50" w:rsidP="00BD7561">
      <w:pPr>
        <w:tabs>
          <w:tab w:val="left" w:pos="851"/>
        </w:tabs>
        <w:spacing w:line="360" w:lineRule="auto"/>
        <w:contextualSpacing/>
        <w:jc w:val="both"/>
        <w:rPr>
          <w:rFonts w:ascii="Bookman Old Style" w:hAnsi="Bookman Old Style"/>
          <w:sz w:val="28"/>
          <w:szCs w:val="28"/>
          <w:u w:val="single"/>
          <w:lang w:val="en-US"/>
        </w:rPr>
      </w:pPr>
      <w:r w:rsidRPr="00BD7561">
        <w:rPr>
          <w:rFonts w:ascii="Bookman Old Style" w:hAnsi="Bookman Old Style"/>
          <w:sz w:val="28"/>
          <w:szCs w:val="28"/>
          <w:u w:val="single"/>
          <w:lang w:val="en-US"/>
        </w:rPr>
        <w:t>Grounds of appeal considered</w:t>
      </w:r>
    </w:p>
    <w:p w14:paraId="372829BD" w14:textId="77777777" w:rsidR="00AB5CFA" w:rsidRDefault="00AB5CFA" w:rsidP="00BD7561">
      <w:pPr>
        <w:tabs>
          <w:tab w:val="left" w:pos="851"/>
        </w:tabs>
        <w:spacing w:line="360" w:lineRule="auto"/>
        <w:contextualSpacing/>
        <w:jc w:val="both"/>
        <w:rPr>
          <w:rFonts w:ascii="Bookman Old Style" w:hAnsi="Bookman Old Style"/>
          <w:sz w:val="28"/>
          <w:szCs w:val="28"/>
          <w:lang w:val="en-US"/>
        </w:rPr>
      </w:pPr>
    </w:p>
    <w:p w14:paraId="1D8D022E" w14:textId="77777777" w:rsidR="002633FC" w:rsidRDefault="00037F50" w:rsidP="002633FC">
      <w:pPr>
        <w:numPr>
          <w:ilvl w:val="0"/>
          <w:numId w:val="14"/>
        </w:numPr>
        <w:tabs>
          <w:tab w:val="left" w:pos="851"/>
        </w:tabs>
        <w:spacing w:line="360" w:lineRule="auto"/>
        <w:ind w:left="0" w:hanging="11"/>
        <w:contextualSpacing/>
        <w:jc w:val="both"/>
        <w:rPr>
          <w:rFonts w:ascii="Bookman Old Style" w:hAnsi="Bookman Old Style"/>
          <w:sz w:val="28"/>
          <w:szCs w:val="28"/>
          <w:lang w:val="en-US"/>
        </w:rPr>
      </w:pPr>
      <w:r w:rsidRPr="00BD7561">
        <w:rPr>
          <w:rFonts w:ascii="Bookman Old Style" w:hAnsi="Bookman Old Style"/>
          <w:sz w:val="28"/>
          <w:szCs w:val="28"/>
          <w:lang w:val="en-US"/>
        </w:rPr>
        <w:t>Briefly stated, the appeal grounds are:</w:t>
      </w:r>
    </w:p>
    <w:p w14:paraId="4599660B" w14:textId="77777777" w:rsidR="002633FC" w:rsidRDefault="002633FC" w:rsidP="002633FC">
      <w:pPr>
        <w:tabs>
          <w:tab w:val="left" w:pos="851"/>
        </w:tabs>
        <w:spacing w:line="360" w:lineRule="auto"/>
        <w:contextualSpacing/>
        <w:jc w:val="both"/>
        <w:rPr>
          <w:rFonts w:ascii="Bookman Old Style" w:hAnsi="Bookman Old Style"/>
          <w:sz w:val="28"/>
          <w:szCs w:val="28"/>
          <w:lang w:val="en-US"/>
        </w:rPr>
      </w:pPr>
    </w:p>
    <w:p w14:paraId="28EC8AD7" w14:textId="1D793A91" w:rsidR="002633FC" w:rsidRDefault="002633FC" w:rsidP="00910F1A">
      <w:pPr>
        <w:pStyle w:val="ListParagraph"/>
        <w:numPr>
          <w:ilvl w:val="0"/>
          <w:numId w:val="6"/>
        </w:numPr>
        <w:spacing w:line="360" w:lineRule="auto"/>
        <w:ind w:left="1418" w:hanging="567"/>
        <w:jc w:val="both"/>
        <w:rPr>
          <w:rFonts w:ascii="Bookman Old Style" w:hAnsi="Bookman Old Style"/>
          <w:sz w:val="28"/>
          <w:szCs w:val="28"/>
          <w:lang w:val="en-US"/>
        </w:rPr>
      </w:pPr>
      <w:r>
        <w:rPr>
          <w:rFonts w:ascii="Bookman Old Style" w:hAnsi="Bookman Old Style"/>
          <w:sz w:val="28"/>
          <w:szCs w:val="28"/>
          <w:lang w:val="en-US"/>
        </w:rPr>
        <w:t xml:space="preserve">First meeting of creditors for proof of claims and election of liquidators </w:t>
      </w:r>
      <w:r w:rsidR="00AB5CFA">
        <w:rPr>
          <w:rFonts w:ascii="Bookman Old Style" w:hAnsi="Bookman Old Style"/>
          <w:sz w:val="28"/>
          <w:szCs w:val="28"/>
          <w:lang w:val="en-US"/>
        </w:rPr>
        <w:t xml:space="preserve">is </w:t>
      </w:r>
      <w:r>
        <w:rPr>
          <w:rFonts w:ascii="Bookman Old Style" w:hAnsi="Bookman Old Style"/>
          <w:sz w:val="28"/>
          <w:szCs w:val="28"/>
          <w:lang w:val="en-US"/>
        </w:rPr>
        <w:t xml:space="preserve">not part of </w:t>
      </w:r>
      <w:r w:rsidR="00AB5CFA">
        <w:rPr>
          <w:rFonts w:ascii="Bookman Old Style" w:hAnsi="Bookman Old Style"/>
          <w:sz w:val="28"/>
          <w:szCs w:val="28"/>
          <w:lang w:val="en-US"/>
        </w:rPr>
        <w:t xml:space="preserve">the </w:t>
      </w:r>
      <w:r>
        <w:rPr>
          <w:rFonts w:ascii="Bookman Old Style" w:hAnsi="Bookman Old Style"/>
          <w:sz w:val="28"/>
          <w:szCs w:val="28"/>
          <w:lang w:val="en-US"/>
        </w:rPr>
        <w:t>CA 2011;</w:t>
      </w:r>
    </w:p>
    <w:p w14:paraId="15972197" w14:textId="77777777" w:rsidR="00910F1A" w:rsidRDefault="00910F1A" w:rsidP="00910F1A">
      <w:pPr>
        <w:pStyle w:val="ListParagraph"/>
        <w:spacing w:line="360" w:lineRule="auto"/>
        <w:ind w:left="1418"/>
        <w:jc w:val="both"/>
        <w:rPr>
          <w:rFonts w:ascii="Bookman Old Style" w:hAnsi="Bookman Old Style"/>
          <w:sz w:val="28"/>
          <w:szCs w:val="28"/>
          <w:lang w:val="en-US"/>
        </w:rPr>
      </w:pPr>
    </w:p>
    <w:p w14:paraId="61F05C45" w14:textId="77777777" w:rsidR="002633FC" w:rsidRDefault="002633FC" w:rsidP="00910F1A">
      <w:pPr>
        <w:pStyle w:val="ListParagraph"/>
        <w:numPr>
          <w:ilvl w:val="0"/>
          <w:numId w:val="6"/>
        </w:numPr>
        <w:spacing w:line="360" w:lineRule="auto"/>
        <w:ind w:left="1418" w:hanging="567"/>
        <w:jc w:val="both"/>
        <w:rPr>
          <w:rFonts w:ascii="Bookman Old Style" w:hAnsi="Bookman Old Style"/>
          <w:sz w:val="28"/>
          <w:szCs w:val="28"/>
          <w:lang w:val="en-US"/>
        </w:rPr>
      </w:pPr>
      <w:r>
        <w:rPr>
          <w:rFonts w:ascii="Bookman Old Style" w:hAnsi="Bookman Old Style"/>
          <w:sz w:val="28"/>
          <w:szCs w:val="28"/>
          <w:lang w:val="en-US"/>
        </w:rPr>
        <w:t xml:space="preserve">Additional liquidators may be appointed by the Master if need arises </w:t>
      </w:r>
      <w:r w:rsidRPr="006F45A9">
        <w:rPr>
          <w:rFonts w:ascii="Bookman Old Style" w:hAnsi="Bookman Old Style"/>
          <w:sz w:val="28"/>
          <w:szCs w:val="28"/>
          <w:lang w:val="en-US"/>
        </w:rPr>
        <w:t>subject to the High Court’s review power;</w:t>
      </w:r>
    </w:p>
    <w:p w14:paraId="5D10A8AB" w14:textId="77777777" w:rsidR="00910F1A" w:rsidRPr="00910F1A" w:rsidRDefault="00910F1A" w:rsidP="00910F1A">
      <w:pPr>
        <w:pStyle w:val="ListParagraph"/>
        <w:rPr>
          <w:rFonts w:ascii="Bookman Old Style" w:hAnsi="Bookman Old Style"/>
          <w:sz w:val="28"/>
          <w:szCs w:val="28"/>
          <w:lang w:val="en-US"/>
        </w:rPr>
      </w:pPr>
    </w:p>
    <w:p w14:paraId="63238DA6" w14:textId="77777777" w:rsidR="002633FC" w:rsidRDefault="002633FC" w:rsidP="00910F1A">
      <w:pPr>
        <w:pStyle w:val="ListParagraph"/>
        <w:numPr>
          <w:ilvl w:val="0"/>
          <w:numId w:val="6"/>
        </w:numPr>
        <w:spacing w:line="360" w:lineRule="auto"/>
        <w:ind w:left="1418" w:hanging="567"/>
        <w:jc w:val="both"/>
        <w:rPr>
          <w:rFonts w:ascii="Bookman Old Style" w:hAnsi="Bookman Old Style"/>
          <w:sz w:val="28"/>
          <w:szCs w:val="28"/>
          <w:lang w:val="en-US"/>
        </w:rPr>
      </w:pPr>
      <w:r>
        <w:rPr>
          <w:rFonts w:ascii="Bookman Old Style" w:hAnsi="Bookman Old Style"/>
          <w:sz w:val="28"/>
          <w:szCs w:val="28"/>
          <w:lang w:val="en-US"/>
        </w:rPr>
        <w:lastRenderedPageBreak/>
        <w:t>CA 2011 only makes provision for appointment of liquidator(s) and not provisional liquidator(s).</w:t>
      </w:r>
    </w:p>
    <w:p w14:paraId="65FDF7DD" w14:textId="77777777" w:rsidR="002633FC" w:rsidRDefault="002633FC" w:rsidP="002633FC">
      <w:pPr>
        <w:tabs>
          <w:tab w:val="left" w:pos="851"/>
        </w:tabs>
        <w:spacing w:line="360" w:lineRule="auto"/>
        <w:contextualSpacing/>
        <w:jc w:val="both"/>
        <w:rPr>
          <w:rFonts w:ascii="Bookman Old Style" w:hAnsi="Bookman Old Style"/>
          <w:sz w:val="28"/>
          <w:szCs w:val="28"/>
          <w:lang w:val="en-US"/>
        </w:rPr>
      </w:pPr>
    </w:p>
    <w:p w14:paraId="5B1ABBF7" w14:textId="77777777" w:rsidR="002633FC" w:rsidRDefault="006F45A9" w:rsidP="00DE6D75">
      <w:pPr>
        <w:numPr>
          <w:ilvl w:val="0"/>
          <w:numId w:val="14"/>
        </w:numPr>
        <w:tabs>
          <w:tab w:val="left" w:pos="851"/>
        </w:tabs>
        <w:spacing w:line="360" w:lineRule="auto"/>
        <w:ind w:left="0" w:hanging="11"/>
        <w:contextualSpacing/>
        <w:jc w:val="both"/>
        <w:rPr>
          <w:rFonts w:ascii="Bookman Old Style" w:hAnsi="Bookman Old Style"/>
          <w:sz w:val="28"/>
          <w:szCs w:val="28"/>
          <w:lang w:val="en-US"/>
        </w:rPr>
      </w:pPr>
      <w:r w:rsidRPr="002633FC">
        <w:rPr>
          <w:rFonts w:ascii="Bookman Old Style" w:hAnsi="Bookman Old Style"/>
          <w:sz w:val="28"/>
          <w:szCs w:val="28"/>
          <w:lang w:val="en-US"/>
        </w:rPr>
        <w:t xml:space="preserve">It should be apparent from all that I have said so far, that the real disputes between the Liquidators and </w:t>
      </w:r>
      <w:r w:rsidR="00B828AB">
        <w:rPr>
          <w:rFonts w:ascii="Bookman Old Style" w:hAnsi="Bookman Old Style"/>
          <w:sz w:val="28"/>
          <w:szCs w:val="28"/>
          <w:lang w:val="en-US"/>
        </w:rPr>
        <w:t xml:space="preserve">the </w:t>
      </w:r>
      <w:r w:rsidRPr="002633FC">
        <w:rPr>
          <w:rFonts w:ascii="Bookman Old Style" w:hAnsi="Bookman Old Style"/>
          <w:sz w:val="28"/>
          <w:szCs w:val="28"/>
          <w:lang w:val="en-US"/>
        </w:rPr>
        <w:t xml:space="preserve">Banks are (a) whether the Banks are entitled to sell </w:t>
      </w:r>
      <w:r w:rsidR="00B828AB">
        <w:rPr>
          <w:rFonts w:ascii="Bookman Old Style" w:hAnsi="Bookman Old Style"/>
          <w:sz w:val="28"/>
          <w:szCs w:val="28"/>
          <w:lang w:val="en-US"/>
        </w:rPr>
        <w:t xml:space="preserve">the hire-purchase </w:t>
      </w:r>
      <w:r w:rsidRPr="002633FC">
        <w:rPr>
          <w:rFonts w:ascii="Bookman Old Style" w:hAnsi="Bookman Old Style"/>
          <w:sz w:val="28"/>
          <w:szCs w:val="28"/>
          <w:lang w:val="en-US"/>
        </w:rPr>
        <w:t>assets to liquidate the debts owing to them befor</w:t>
      </w:r>
      <w:r w:rsidR="00910F1A">
        <w:rPr>
          <w:rFonts w:ascii="Bookman Old Style" w:hAnsi="Bookman Old Style"/>
          <w:sz w:val="28"/>
          <w:szCs w:val="28"/>
          <w:lang w:val="en-US"/>
        </w:rPr>
        <w:t>e accounting to the Liquidators</w:t>
      </w:r>
      <w:r w:rsidRPr="002633FC">
        <w:rPr>
          <w:rFonts w:ascii="Bookman Old Style" w:hAnsi="Bookman Old Style"/>
          <w:sz w:val="28"/>
          <w:szCs w:val="28"/>
          <w:lang w:val="en-US"/>
        </w:rPr>
        <w:t xml:space="preserve">, (b) whether the Liquidators were entitled to seek legal advice and (c) whether the Liquidators </w:t>
      </w:r>
      <w:r w:rsidR="00B828AB">
        <w:rPr>
          <w:rFonts w:ascii="Bookman Old Style" w:hAnsi="Bookman Old Style"/>
          <w:sz w:val="28"/>
          <w:szCs w:val="28"/>
          <w:lang w:val="en-US"/>
        </w:rPr>
        <w:t>are</w:t>
      </w:r>
      <w:r w:rsidRPr="002633FC">
        <w:rPr>
          <w:rFonts w:ascii="Bookman Old Style" w:hAnsi="Bookman Old Style"/>
          <w:sz w:val="28"/>
          <w:szCs w:val="28"/>
          <w:lang w:val="en-US"/>
        </w:rPr>
        <w:t xml:space="preserve"> entitled to remuneration from the </w:t>
      </w:r>
      <w:r w:rsidR="00B828AB">
        <w:rPr>
          <w:rFonts w:ascii="Bookman Old Style" w:hAnsi="Bookman Old Style"/>
          <w:sz w:val="28"/>
          <w:szCs w:val="28"/>
          <w:lang w:val="en-US"/>
        </w:rPr>
        <w:t>hire-purchase</w:t>
      </w:r>
      <w:r w:rsidRPr="002633FC">
        <w:rPr>
          <w:rFonts w:ascii="Bookman Old Style" w:hAnsi="Bookman Old Style"/>
          <w:sz w:val="28"/>
          <w:szCs w:val="28"/>
          <w:lang w:val="en-US"/>
        </w:rPr>
        <w:t xml:space="preserve"> assets. On those issues the Liquidators achieved success in the High Court. Against that backdrop, it </w:t>
      </w:r>
      <w:r w:rsidR="00DE6D75" w:rsidRPr="002633FC">
        <w:rPr>
          <w:rFonts w:ascii="Bookman Old Style" w:hAnsi="Bookman Old Style"/>
          <w:sz w:val="28"/>
          <w:szCs w:val="28"/>
          <w:lang w:val="en-US"/>
        </w:rPr>
        <w:t xml:space="preserve">is not immediately apparent </w:t>
      </w:r>
      <w:r w:rsidRPr="002633FC">
        <w:rPr>
          <w:rFonts w:ascii="Bookman Old Style" w:hAnsi="Bookman Old Style"/>
          <w:sz w:val="28"/>
          <w:szCs w:val="28"/>
          <w:lang w:val="en-US"/>
        </w:rPr>
        <w:t xml:space="preserve">why the Liquidators have appealed. </w:t>
      </w:r>
      <w:r w:rsidR="00B828AB">
        <w:rPr>
          <w:rFonts w:ascii="Bookman Old Style" w:hAnsi="Bookman Old Style"/>
          <w:sz w:val="28"/>
          <w:szCs w:val="28"/>
          <w:lang w:val="en-US"/>
        </w:rPr>
        <w:t>I say so, and repeat that, the</w:t>
      </w:r>
      <w:r w:rsidRPr="002633FC">
        <w:rPr>
          <w:rFonts w:ascii="Bookman Old Style" w:hAnsi="Bookman Old Style"/>
          <w:sz w:val="28"/>
          <w:szCs w:val="28"/>
          <w:lang w:val="en-US"/>
        </w:rPr>
        <w:t xml:space="preserve"> High Court made the following crucial findings in </w:t>
      </w:r>
      <w:proofErr w:type="spellStart"/>
      <w:r w:rsidRPr="002633FC">
        <w:rPr>
          <w:rFonts w:ascii="Bookman Old Style" w:hAnsi="Bookman Old Style"/>
          <w:sz w:val="28"/>
          <w:szCs w:val="28"/>
          <w:lang w:val="en-US"/>
        </w:rPr>
        <w:t>favour</w:t>
      </w:r>
      <w:proofErr w:type="spellEnd"/>
      <w:r w:rsidRPr="002633FC">
        <w:rPr>
          <w:rFonts w:ascii="Bookman Old Style" w:hAnsi="Bookman Old Style"/>
          <w:sz w:val="28"/>
          <w:szCs w:val="28"/>
          <w:lang w:val="en-US"/>
        </w:rPr>
        <w:t xml:space="preserve"> of the Liquidators: </w:t>
      </w:r>
    </w:p>
    <w:p w14:paraId="2BA9D50A" w14:textId="77777777" w:rsidR="00A941BA" w:rsidRDefault="00A941BA" w:rsidP="00A941BA">
      <w:pPr>
        <w:tabs>
          <w:tab w:val="left" w:pos="851"/>
        </w:tabs>
        <w:spacing w:line="360" w:lineRule="auto"/>
        <w:contextualSpacing/>
        <w:jc w:val="both"/>
        <w:rPr>
          <w:rFonts w:ascii="Bookman Old Style" w:hAnsi="Bookman Old Style"/>
          <w:sz w:val="28"/>
          <w:szCs w:val="28"/>
          <w:lang w:val="en-US"/>
        </w:rPr>
      </w:pPr>
    </w:p>
    <w:p w14:paraId="2D5EA019" w14:textId="77777777" w:rsidR="002633FC" w:rsidRDefault="002633FC" w:rsidP="00910F1A">
      <w:pPr>
        <w:pStyle w:val="ListParagraph"/>
        <w:numPr>
          <w:ilvl w:val="0"/>
          <w:numId w:val="19"/>
        </w:numPr>
        <w:spacing w:line="360" w:lineRule="auto"/>
        <w:ind w:left="1418" w:hanging="567"/>
        <w:jc w:val="both"/>
        <w:rPr>
          <w:rFonts w:ascii="Bookman Old Style" w:hAnsi="Bookman Old Style"/>
          <w:sz w:val="28"/>
          <w:szCs w:val="28"/>
          <w:lang w:val="en-US"/>
        </w:rPr>
      </w:pPr>
      <w:r>
        <w:rPr>
          <w:rFonts w:ascii="Bookman Old Style" w:hAnsi="Bookman Old Style"/>
          <w:sz w:val="28"/>
          <w:szCs w:val="28"/>
          <w:lang w:val="en-US"/>
        </w:rPr>
        <w:t>T</w:t>
      </w:r>
      <w:r w:rsidRPr="00DE6D75">
        <w:rPr>
          <w:rFonts w:ascii="Bookman Old Style" w:hAnsi="Bookman Old Style"/>
          <w:sz w:val="28"/>
          <w:szCs w:val="28"/>
          <w:lang w:val="en-US"/>
        </w:rPr>
        <w:t xml:space="preserve">he proceeds of sale of the </w:t>
      </w:r>
      <w:r w:rsidR="00FE1812">
        <w:rPr>
          <w:rFonts w:ascii="Bookman Old Style" w:hAnsi="Bookman Old Style"/>
          <w:sz w:val="28"/>
          <w:szCs w:val="28"/>
          <w:lang w:val="en-US"/>
        </w:rPr>
        <w:t>hire-purchase</w:t>
      </w:r>
      <w:r w:rsidRPr="00DE6D75">
        <w:rPr>
          <w:rFonts w:ascii="Bookman Old Style" w:hAnsi="Bookman Old Style"/>
          <w:sz w:val="28"/>
          <w:szCs w:val="28"/>
          <w:lang w:val="en-US"/>
        </w:rPr>
        <w:t xml:space="preserve"> must, if sold by </w:t>
      </w:r>
      <w:r w:rsidR="00FE1812">
        <w:rPr>
          <w:rFonts w:ascii="Bookman Old Style" w:hAnsi="Bookman Old Style"/>
          <w:sz w:val="28"/>
          <w:szCs w:val="28"/>
          <w:lang w:val="en-US"/>
        </w:rPr>
        <w:t>the Banks, be paid over to the L</w:t>
      </w:r>
      <w:r w:rsidRPr="00DE6D75">
        <w:rPr>
          <w:rFonts w:ascii="Bookman Old Style" w:hAnsi="Bookman Old Style"/>
          <w:sz w:val="28"/>
          <w:szCs w:val="28"/>
          <w:lang w:val="en-US"/>
        </w:rPr>
        <w:t>iquidators to be retained in the pool of the assets of the company in liquidation for the benefit of all creditors</w:t>
      </w:r>
      <w:r>
        <w:rPr>
          <w:rFonts w:ascii="Bookman Old Style" w:hAnsi="Bookman Old Style"/>
          <w:sz w:val="28"/>
          <w:szCs w:val="28"/>
          <w:lang w:val="en-US"/>
        </w:rPr>
        <w:t>.</w:t>
      </w:r>
    </w:p>
    <w:p w14:paraId="2230B327" w14:textId="77777777" w:rsidR="00910F1A" w:rsidRPr="00DE6D75" w:rsidRDefault="00910F1A" w:rsidP="00910F1A">
      <w:pPr>
        <w:pStyle w:val="ListParagraph"/>
        <w:spacing w:line="360" w:lineRule="auto"/>
        <w:ind w:left="1418"/>
        <w:jc w:val="both"/>
        <w:rPr>
          <w:rFonts w:ascii="Bookman Old Style" w:hAnsi="Bookman Old Style"/>
          <w:sz w:val="28"/>
          <w:szCs w:val="28"/>
          <w:lang w:val="en-US"/>
        </w:rPr>
      </w:pPr>
    </w:p>
    <w:p w14:paraId="4155B15D" w14:textId="77777777" w:rsidR="002633FC" w:rsidRDefault="002633FC" w:rsidP="00910F1A">
      <w:pPr>
        <w:pStyle w:val="ListParagraph"/>
        <w:numPr>
          <w:ilvl w:val="0"/>
          <w:numId w:val="19"/>
        </w:numPr>
        <w:spacing w:line="360" w:lineRule="auto"/>
        <w:ind w:left="1418" w:hanging="567"/>
        <w:jc w:val="both"/>
        <w:rPr>
          <w:rFonts w:ascii="Bookman Old Style" w:hAnsi="Bookman Old Style"/>
          <w:sz w:val="28"/>
          <w:szCs w:val="28"/>
          <w:lang w:val="en-US"/>
        </w:rPr>
      </w:pPr>
      <w:r>
        <w:rPr>
          <w:rFonts w:ascii="Bookman Old Style" w:hAnsi="Bookman Old Style"/>
          <w:sz w:val="28"/>
          <w:szCs w:val="28"/>
          <w:lang w:val="en-US"/>
        </w:rPr>
        <w:t>The liquidators’ fees may be paid from the</w:t>
      </w:r>
      <w:r w:rsidR="00FE1812">
        <w:rPr>
          <w:rFonts w:ascii="Bookman Old Style" w:hAnsi="Bookman Old Style"/>
          <w:sz w:val="28"/>
          <w:szCs w:val="28"/>
          <w:lang w:val="en-US"/>
        </w:rPr>
        <w:t xml:space="preserve"> hire-purchase assets</w:t>
      </w:r>
      <w:r>
        <w:rPr>
          <w:rFonts w:ascii="Bookman Old Style" w:hAnsi="Bookman Old Style"/>
          <w:sz w:val="28"/>
          <w:szCs w:val="28"/>
          <w:lang w:val="en-US"/>
        </w:rPr>
        <w:t>.</w:t>
      </w:r>
    </w:p>
    <w:p w14:paraId="0F822098" w14:textId="77777777" w:rsidR="002633FC" w:rsidRDefault="002633FC" w:rsidP="002633FC">
      <w:pPr>
        <w:tabs>
          <w:tab w:val="left" w:pos="851"/>
        </w:tabs>
        <w:spacing w:line="360" w:lineRule="auto"/>
        <w:contextualSpacing/>
        <w:jc w:val="both"/>
        <w:rPr>
          <w:rFonts w:ascii="Bookman Old Style" w:hAnsi="Bookman Old Style"/>
          <w:sz w:val="28"/>
          <w:szCs w:val="28"/>
          <w:lang w:val="en-US"/>
        </w:rPr>
      </w:pPr>
    </w:p>
    <w:p w14:paraId="0E29189A" w14:textId="4EC89AC0" w:rsidR="002633FC" w:rsidRDefault="00DE6D75" w:rsidP="000D1B85">
      <w:pPr>
        <w:numPr>
          <w:ilvl w:val="0"/>
          <w:numId w:val="14"/>
        </w:numPr>
        <w:tabs>
          <w:tab w:val="left" w:pos="851"/>
        </w:tabs>
        <w:spacing w:line="360" w:lineRule="auto"/>
        <w:ind w:left="0" w:hanging="11"/>
        <w:contextualSpacing/>
        <w:jc w:val="both"/>
        <w:rPr>
          <w:rFonts w:ascii="Bookman Old Style" w:hAnsi="Bookman Old Style"/>
          <w:sz w:val="28"/>
          <w:szCs w:val="28"/>
          <w:lang w:val="en-US"/>
        </w:rPr>
      </w:pPr>
      <w:r w:rsidRPr="002633FC">
        <w:rPr>
          <w:rFonts w:ascii="Bookman Old Style" w:hAnsi="Bookman Old Style"/>
          <w:sz w:val="28"/>
          <w:szCs w:val="28"/>
          <w:lang w:val="en-US"/>
        </w:rPr>
        <w:t xml:space="preserve">Be that as it may, </w:t>
      </w:r>
      <w:r w:rsidR="00812D83" w:rsidRPr="002633FC">
        <w:rPr>
          <w:rFonts w:ascii="Bookman Old Style" w:hAnsi="Bookman Old Style"/>
          <w:sz w:val="28"/>
          <w:szCs w:val="28"/>
          <w:lang w:val="en-US"/>
        </w:rPr>
        <w:t xml:space="preserve">by appealing and advancing the grounds of appeal such as they have done, </w:t>
      </w:r>
      <w:r w:rsidRPr="002633FC">
        <w:rPr>
          <w:rFonts w:ascii="Bookman Old Style" w:hAnsi="Bookman Old Style"/>
          <w:sz w:val="28"/>
          <w:szCs w:val="28"/>
          <w:lang w:val="en-US"/>
        </w:rPr>
        <w:t xml:space="preserve">the </w:t>
      </w:r>
      <w:r w:rsidR="004A726C" w:rsidRPr="002633FC">
        <w:rPr>
          <w:rFonts w:ascii="Bookman Old Style" w:hAnsi="Bookman Old Style"/>
          <w:sz w:val="28"/>
          <w:szCs w:val="28"/>
          <w:lang w:val="en-US"/>
        </w:rPr>
        <w:t>L</w:t>
      </w:r>
      <w:r w:rsidRPr="002633FC">
        <w:rPr>
          <w:rFonts w:ascii="Bookman Old Style" w:hAnsi="Bookman Old Style"/>
          <w:sz w:val="28"/>
          <w:szCs w:val="28"/>
          <w:lang w:val="en-US"/>
        </w:rPr>
        <w:t xml:space="preserve">iquidators have </w:t>
      </w:r>
      <w:r w:rsidR="004A726C" w:rsidRPr="002633FC">
        <w:rPr>
          <w:rFonts w:ascii="Bookman Old Style" w:hAnsi="Bookman Old Style"/>
          <w:sz w:val="28"/>
          <w:szCs w:val="28"/>
          <w:lang w:val="en-US"/>
        </w:rPr>
        <w:t>chosen</w:t>
      </w:r>
      <w:r w:rsidRPr="002633FC">
        <w:rPr>
          <w:rFonts w:ascii="Bookman Old Style" w:hAnsi="Bookman Old Style"/>
          <w:sz w:val="28"/>
          <w:szCs w:val="28"/>
          <w:lang w:val="en-US"/>
        </w:rPr>
        <w:t xml:space="preserve"> the battlefield</w:t>
      </w:r>
      <w:r w:rsidR="004A726C" w:rsidRPr="002633FC">
        <w:rPr>
          <w:rFonts w:ascii="Bookman Old Style" w:hAnsi="Bookman Old Style"/>
          <w:sz w:val="28"/>
          <w:szCs w:val="28"/>
          <w:lang w:val="en-US"/>
        </w:rPr>
        <w:t xml:space="preserve"> and the rules of engagement</w:t>
      </w:r>
      <w:r w:rsidRPr="002633FC">
        <w:rPr>
          <w:rFonts w:ascii="Bookman Old Style" w:hAnsi="Bookman Old Style"/>
          <w:sz w:val="28"/>
          <w:szCs w:val="28"/>
          <w:lang w:val="en-US"/>
        </w:rPr>
        <w:t xml:space="preserve">. They must stand or fall by those. </w:t>
      </w:r>
      <w:r w:rsidR="00812D83" w:rsidRPr="002633FC">
        <w:rPr>
          <w:rFonts w:ascii="Bookman Old Style" w:hAnsi="Bookman Old Style"/>
          <w:sz w:val="28"/>
          <w:szCs w:val="28"/>
          <w:lang w:val="en-US"/>
        </w:rPr>
        <w:t xml:space="preserve">Perhaps they needed an authoritative interpretation of the relevant provisions of the CA 2011 and the Insolvency </w:t>
      </w:r>
      <w:r w:rsidR="00812D83" w:rsidRPr="002633FC">
        <w:rPr>
          <w:rFonts w:ascii="Bookman Old Style" w:hAnsi="Bookman Old Style"/>
          <w:sz w:val="28"/>
          <w:szCs w:val="28"/>
          <w:lang w:val="en-US"/>
        </w:rPr>
        <w:lastRenderedPageBreak/>
        <w:t>Proclamation 1957 as they are insolvency practitioners. Ordinarily, the court will not accept an invitation to provide advisory opinions, but the issues placed before us arise from live disputes</w:t>
      </w:r>
      <w:r w:rsidR="00AB5CFA">
        <w:rPr>
          <w:rFonts w:ascii="Bookman Old Style" w:hAnsi="Bookman Old Style"/>
          <w:sz w:val="28"/>
          <w:szCs w:val="28"/>
          <w:lang w:val="en-US"/>
        </w:rPr>
        <w:t>;</w:t>
      </w:r>
      <w:r w:rsidR="00812D83" w:rsidRPr="002633FC">
        <w:rPr>
          <w:rFonts w:ascii="Bookman Old Style" w:hAnsi="Bookman Old Style"/>
          <w:sz w:val="28"/>
          <w:szCs w:val="28"/>
          <w:lang w:val="en-US"/>
        </w:rPr>
        <w:t xml:space="preserve"> </w:t>
      </w:r>
      <w:proofErr w:type="gramStart"/>
      <w:r w:rsidR="00812D83" w:rsidRPr="002633FC">
        <w:rPr>
          <w:rFonts w:ascii="Bookman Old Style" w:hAnsi="Bookman Old Style"/>
          <w:sz w:val="28"/>
          <w:szCs w:val="28"/>
          <w:lang w:val="en-US"/>
        </w:rPr>
        <w:t>so</w:t>
      </w:r>
      <w:proofErr w:type="gramEnd"/>
      <w:r w:rsidR="00812D83" w:rsidRPr="002633FC">
        <w:rPr>
          <w:rFonts w:ascii="Bookman Old Style" w:hAnsi="Bookman Old Style"/>
          <w:sz w:val="28"/>
          <w:szCs w:val="28"/>
          <w:lang w:val="en-US"/>
        </w:rPr>
        <w:t xml:space="preserve"> I will proceed to deal with the grounds of appeal.</w:t>
      </w:r>
    </w:p>
    <w:p w14:paraId="59A173F5" w14:textId="77777777" w:rsidR="002633FC" w:rsidRDefault="002633FC" w:rsidP="002633FC">
      <w:pPr>
        <w:tabs>
          <w:tab w:val="left" w:pos="851"/>
        </w:tabs>
        <w:spacing w:line="360" w:lineRule="auto"/>
        <w:contextualSpacing/>
        <w:jc w:val="both"/>
        <w:rPr>
          <w:rFonts w:ascii="Bookman Old Style" w:hAnsi="Bookman Old Style"/>
          <w:sz w:val="28"/>
          <w:szCs w:val="28"/>
          <w:lang w:val="en-US"/>
        </w:rPr>
      </w:pPr>
    </w:p>
    <w:p w14:paraId="21EA57B2" w14:textId="6D8070AF" w:rsidR="002633FC" w:rsidRDefault="004A736A" w:rsidP="00007E1D">
      <w:pPr>
        <w:numPr>
          <w:ilvl w:val="0"/>
          <w:numId w:val="14"/>
        </w:numPr>
        <w:tabs>
          <w:tab w:val="left" w:pos="851"/>
        </w:tabs>
        <w:spacing w:line="360" w:lineRule="auto"/>
        <w:ind w:left="0" w:hanging="11"/>
        <w:contextualSpacing/>
        <w:jc w:val="both"/>
        <w:rPr>
          <w:rFonts w:ascii="Bookman Old Style" w:hAnsi="Bookman Old Style"/>
          <w:sz w:val="28"/>
          <w:szCs w:val="28"/>
          <w:lang w:val="en-US"/>
        </w:rPr>
      </w:pPr>
      <w:r w:rsidRPr="002633FC">
        <w:rPr>
          <w:rFonts w:ascii="Bookman Old Style" w:hAnsi="Bookman Old Style"/>
          <w:sz w:val="28"/>
          <w:szCs w:val="28"/>
          <w:lang w:val="en-US"/>
        </w:rPr>
        <w:t xml:space="preserve">I will consider first the issue of liquidator(s) versus provisional liquidator(s). </w:t>
      </w:r>
      <w:r w:rsidR="000D1B85" w:rsidRPr="002633FC">
        <w:rPr>
          <w:rFonts w:ascii="Bookman Old Style" w:hAnsi="Bookman Old Style"/>
          <w:sz w:val="28"/>
          <w:szCs w:val="28"/>
          <w:lang w:val="en-US"/>
        </w:rPr>
        <w:t>The heads of argument filed on behalf of the Banks do not address th</w:t>
      </w:r>
      <w:r w:rsidR="00AB5CFA">
        <w:rPr>
          <w:rFonts w:ascii="Bookman Old Style" w:hAnsi="Bookman Old Style"/>
          <w:sz w:val="28"/>
          <w:szCs w:val="28"/>
          <w:lang w:val="en-US"/>
        </w:rPr>
        <w:t>at</w:t>
      </w:r>
      <w:r w:rsidR="000D1B85" w:rsidRPr="002633FC">
        <w:rPr>
          <w:rFonts w:ascii="Bookman Old Style" w:hAnsi="Bookman Old Style"/>
          <w:sz w:val="28"/>
          <w:szCs w:val="28"/>
          <w:lang w:val="en-US"/>
        </w:rPr>
        <w:t xml:space="preserve"> issue. The issue appears to have become a live issue because at some stage the </w:t>
      </w:r>
      <w:r w:rsidR="004A726C" w:rsidRPr="002633FC">
        <w:rPr>
          <w:rFonts w:ascii="Bookman Old Style" w:hAnsi="Bookman Old Style"/>
          <w:sz w:val="28"/>
          <w:szCs w:val="28"/>
          <w:lang w:val="en-US"/>
        </w:rPr>
        <w:t>L</w:t>
      </w:r>
      <w:r w:rsidR="000D1B85" w:rsidRPr="002633FC">
        <w:rPr>
          <w:rFonts w:ascii="Bookman Old Style" w:hAnsi="Bookman Old Style"/>
          <w:sz w:val="28"/>
          <w:szCs w:val="28"/>
          <w:lang w:val="en-US"/>
        </w:rPr>
        <w:t xml:space="preserve">iquidators </w:t>
      </w:r>
      <w:r w:rsidR="00812D83" w:rsidRPr="002633FC">
        <w:rPr>
          <w:rFonts w:ascii="Bookman Old Style" w:hAnsi="Bookman Old Style"/>
          <w:sz w:val="28"/>
          <w:szCs w:val="28"/>
          <w:lang w:val="en-US"/>
        </w:rPr>
        <w:t xml:space="preserve">were </w:t>
      </w:r>
      <w:r w:rsidR="000D1B85" w:rsidRPr="002633FC">
        <w:rPr>
          <w:rFonts w:ascii="Bookman Old Style" w:hAnsi="Bookman Old Style"/>
          <w:sz w:val="28"/>
          <w:szCs w:val="28"/>
          <w:lang w:val="en-US"/>
        </w:rPr>
        <w:t xml:space="preserve">referred to as </w:t>
      </w:r>
      <w:r w:rsidR="00AB5CFA">
        <w:rPr>
          <w:rFonts w:ascii="Bookman Old Style" w:hAnsi="Bookman Old Style"/>
          <w:sz w:val="28"/>
          <w:szCs w:val="28"/>
          <w:lang w:val="en-US"/>
        </w:rPr>
        <w:t>‘</w:t>
      </w:r>
      <w:r w:rsidR="000D1B85" w:rsidRPr="002633FC">
        <w:rPr>
          <w:rFonts w:ascii="Bookman Old Style" w:hAnsi="Bookman Old Style"/>
          <w:sz w:val="28"/>
          <w:szCs w:val="28"/>
          <w:lang w:val="en-US"/>
        </w:rPr>
        <w:t>provisional liquidators</w:t>
      </w:r>
      <w:r w:rsidR="00AB5CFA">
        <w:rPr>
          <w:rFonts w:ascii="Bookman Old Style" w:hAnsi="Bookman Old Style"/>
          <w:sz w:val="28"/>
          <w:szCs w:val="28"/>
          <w:lang w:val="en-US"/>
        </w:rPr>
        <w:t>’</w:t>
      </w:r>
      <w:r w:rsidR="00812D83" w:rsidRPr="002633FC">
        <w:rPr>
          <w:rFonts w:ascii="Bookman Old Style" w:hAnsi="Bookman Old Style"/>
          <w:sz w:val="28"/>
          <w:szCs w:val="28"/>
          <w:lang w:val="en-US"/>
        </w:rPr>
        <w:t xml:space="preserve"> as I will show below</w:t>
      </w:r>
      <w:r w:rsidR="000D1B85" w:rsidRPr="002633FC">
        <w:rPr>
          <w:rFonts w:ascii="Bookman Old Style" w:hAnsi="Bookman Old Style"/>
          <w:sz w:val="28"/>
          <w:szCs w:val="28"/>
          <w:lang w:val="en-US"/>
        </w:rPr>
        <w:t xml:space="preserve">. </w:t>
      </w:r>
    </w:p>
    <w:p w14:paraId="36330B66" w14:textId="77777777" w:rsidR="002633FC" w:rsidRDefault="002633FC" w:rsidP="002633FC">
      <w:pPr>
        <w:pStyle w:val="ListParagraph"/>
        <w:rPr>
          <w:rFonts w:ascii="Bookman Old Style" w:hAnsi="Bookman Old Style"/>
          <w:sz w:val="28"/>
          <w:szCs w:val="28"/>
          <w:lang w:val="en-US"/>
        </w:rPr>
      </w:pPr>
    </w:p>
    <w:p w14:paraId="5F4929AF" w14:textId="77777777" w:rsidR="002633FC" w:rsidRDefault="00436004" w:rsidP="000D1B85">
      <w:pPr>
        <w:numPr>
          <w:ilvl w:val="0"/>
          <w:numId w:val="14"/>
        </w:numPr>
        <w:tabs>
          <w:tab w:val="left" w:pos="851"/>
        </w:tabs>
        <w:spacing w:line="360" w:lineRule="auto"/>
        <w:ind w:left="0" w:hanging="11"/>
        <w:contextualSpacing/>
        <w:jc w:val="both"/>
        <w:rPr>
          <w:rFonts w:ascii="Bookman Old Style" w:hAnsi="Bookman Old Style"/>
          <w:sz w:val="28"/>
          <w:szCs w:val="28"/>
          <w:lang w:val="en-US"/>
        </w:rPr>
      </w:pPr>
      <w:r w:rsidRPr="002633FC">
        <w:rPr>
          <w:rFonts w:ascii="Bookman Old Style" w:hAnsi="Bookman Old Style"/>
          <w:sz w:val="28"/>
          <w:szCs w:val="28"/>
          <w:lang w:val="en-US"/>
        </w:rPr>
        <w:t xml:space="preserve">The confusion obviously arose because of the existence of such a distinction under South African law. </w:t>
      </w:r>
      <w:r w:rsidR="00CE40B9" w:rsidRPr="002633FC">
        <w:rPr>
          <w:rFonts w:ascii="Bookman Old Style" w:hAnsi="Bookman Old Style"/>
          <w:sz w:val="28"/>
          <w:szCs w:val="28"/>
          <w:lang w:val="en-US"/>
        </w:rPr>
        <w:t>I</w:t>
      </w:r>
      <w:r w:rsidRPr="002633FC">
        <w:rPr>
          <w:rFonts w:ascii="Bookman Old Style" w:hAnsi="Bookman Old Style"/>
          <w:sz w:val="28"/>
          <w:szCs w:val="28"/>
          <w:lang w:val="en-US"/>
        </w:rPr>
        <w:t xml:space="preserve">n any event, it appears to me to be a </w:t>
      </w:r>
      <w:r w:rsidR="00812D83" w:rsidRPr="002633FC">
        <w:rPr>
          <w:rFonts w:ascii="Bookman Old Style" w:hAnsi="Bookman Old Style"/>
          <w:sz w:val="28"/>
          <w:szCs w:val="28"/>
          <w:lang w:val="en-US"/>
        </w:rPr>
        <w:t xml:space="preserve">distinction without </w:t>
      </w:r>
      <w:r w:rsidRPr="002633FC">
        <w:rPr>
          <w:rFonts w:ascii="Bookman Old Style" w:hAnsi="Bookman Old Style"/>
          <w:sz w:val="28"/>
          <w:szCs w:val="28"/>
          <w:lang w:val="en-US"/>
        </w:rPr>
        <w:t>difference even under South African law where provision is made therefor.</w:t>
      </w:r>
      <w:r w:rsidR="009527C6" w:rsidRPr="002633FC">
        <w:rPr>
          <w:rFonts w:ascii="Bookman Old Style" w:hAnsi="Bookman Old Style"/>
          <w:sz w:val="28"/>
          <w:szCs w:val="28"/>
          <w:lang w:val="en-US"/>
        </w:rPr>
        <w:t xml:space="preserve"> Under South African law</w:t>
      </w:r>
      <w:r w:rsidR="004A726C" w:rsidRPr="002633FC">
        <w:rPr>
          <w:rFonts w:ascii="Bookman Old Style" w:hAnsi="Bookman Old Style"/>
          <w:sz w:val="28"/>
          <w:szCs w:val="28"/>
          <w:lang w:val="en-US"/>
        </w:rPr>
        <w:t>,</w:t>
      </w:r>
      <w:r w:rsidR="009527C6" w:rsidRPr="002633FC">
        <w:rPr>
          <w:rFonts w:ascii="Bookman Old Style" w:hAnsi="Bookman Old Style"/>
          <w:sz w:val="28"/>
          <w:szCs w:val="28"/>
          <w:lang w:val="en-US"/>
        </w:rPr>
        <w:t xml:space="preserve"> the powers of a provisional liquidator are the same as those of a liquidator.</w:t>
      </w:r>
      <w:r w:rsidR="009527C6" w:rsidRPr="004B5D91">
        <w:rPr>
          <w:rStyle w:val="FootnoteReference"/>
          <w:rFonts w:ascii="Bookman Old Style" w:hAnsi="Bookman Old Style"/>
          <w:sz w:val="28"/>
          <w:szCs w:val="28"/>
          <w:lang w:val="en-US"/>
        </w:rPr>
        <w:footnoteReference w:id="2"/>
      </w:r>
      <w:r w:rsidR="004411E8" w:rsidRPr="002633FC">
        <w:rPr>
          <w:rFonts w:ascii="Bookman Old Style" w:hAnsi="Bookman Old Style"/>
          <w:sz w:val="28"/>
          <w:szCs w:val="28"/>
          <w:lang w:val="en-US"/>
        </w:rPr>
        <w:t xml:space="preserve"> </w:t>
      </w:r>
    </w:p>
    <w:p w14:paraId="14D1126B" w14:textId="77777777" w:rsidR="002633FC" w:rsidRDefault="002633FC" w:rsidP="002633FC">
      <w:pPr>
        <w:pStyle w:val="ListParagraph"/>
        <w:rPr>
          <w:rFonts w:ascii="Bookman Old Style" w:hAnsi="Bookman Old Style"/>
          <w:sz w:val="28"/>
          <w:szCs w:val="28"/>
          <w:lang w:val="en-US"/>
        </w:rPr>
      </w:pPr>
    </w:p>
    <w:p w14:paraId="33BC3F4E" w14:textId="77777777" w:rsidR="002633FC" w:rsidRDefault="00F830DE" w:rsidP="004411E8">
      <w:pPr>
        <w:numPr>
          <w:ilvl w:val="0"/>
          <w:numId w:val="14"/>
        </w:numPr>
        <w:tabs>
          <w:tab w:val="left" w:pos="851"/>
        </w:tabs>
        <w:spacing w:line="360" w:lineRule="auto"/>
        <w:ind w:left="0" w:hanging="11"/>
        <w:contextualSpacing/>
        <w:jc w:val="both"/>
        <w:rPr>
          <w:rFonts w:ascii="Bookman Old Style" w:hAnsi="Bookman Old Style"/>
          <w:sz w:val="28"/>
          <w:szCs w:val="28"/>
          <w:lang w:val="en-US"/>
        </w:rPr>
      </w:pPr>
      <w:r w:rsidRPr="002633FC">
        <w:rPr>
          <w:rFonts w:ascii="Bookman Old Style" w:hAnsi="Bookman Old Style"/>
          <w:sz w:val="28"/>
          <w:szCs w:val="28"/>
          <w:lang w:val="en-US"/>
        </w:rPr>
        <w:t xml:space="preserve">Coming to the position in Lesotho, in </w:t>
      </w:r>
      <w:r w:rsidR="003844E4" w:rsidRPr="002633FC">
        <w:rPr>
          <w:rFonts w:ascii="Bookman Old Style" w:hAnsi="Bookman Old Style"/>
          <w:sz w:val="28"/>
          <w:szCs w:val="28"/>
          <w:lang w:val="en-US"/>
        </w:rPr>
        <w:t xml:space="preserve">terms of the </w:t>
      </w:r>
      <w:r w:rsidR="00A1405E" w:rsidRPr="002633FC">
        <w:rPr>
          <w:rFonts w:ascii="Bookman Old Style" w:hAnsi="Bookman Old Style"/>
          <w:sz w:val="28"/>
          <w:szCs w:val="28"/>
          <w:lang w:val="en-US"/>
        </w:rPr>
        <w:t xml:space="preserve">CA </w:t>
      </w:r>
      <w:r w:rsidR="003844E4" w:rsidRPr="002633FC">
        <w:rPr>
          <w:rFonts w:ascii="Bookman Old Style" w:hAnsi="Bookman Old Style"/>
          <w:sz w:val="28"/>
          <w:szCs w:val="28"/>
          <w:lang w:val="en-US"/>
        </w:rPr>
        <w:t>2011, the power of the Court to appoint a liquidator is triggered by an application brought to it under s 127(1) to p</w:t>
      </w:r>
      <w:r w:rsidR="009E2175" w:rsidRPr="002633FC">
        <w:rPr>
          <w:rFonts w:ascii="Bookman Old Style" w:hAnsi="Bookman Old Style"/>
          <w:sz w:val="28"/>
          <w:szCs w:val="28"/>
          <w:lang w:val="en-US"/>
        </w:rPr>
        <w:t>lace</w:t>
      </w:r>
      <w:r w:rsidR="003844E4" w:rsidRPr="002633FC">
        <w:rPr>
          <w:rFonts w:ascii="Bookman Old Style" w:hAnsi="Bookman Old Style"/>
          <w:sz w:val="28"/>
          <w:szCs w:val="28"/>
          <w:lang w:val="en-US"/>
        </w:rPr>
        <w:t xml:space="preserve"> a company </w:t>
      </w:r>
      <w:r w:rsidR="009E2175" w:rsidRPr="002633FC">
        <w:rPr>
          <w:rFonts w:ascii="Bookman Old Style" w:hAnsi="Bookman Old Style"/>
          <w:sz w:val="28"/>
          <w:szCs w:val="28"/>
          <w:lang w:val="en-US"/>
        </w:rPr>
        <w:t>under</w:t>
      </w:r>
      <w:r w:rsidR="003844E4" w:rsidRPr="002633FC">
        <w:rPr>
          <w:rFonts w:ascii="Bookman Old Style" w:hAnsi="Bookman Old Style"/>
          <w:sz w:val="28"/>
          <w:szCs w:val="28"/>
          <w:lang w:val="en-US"/>
        </w:rPr>
        <w:t xml:space="preserve"> liquidation. According to </w:t>
      </w:r>
      <w:r w:rsidR="009E2175" w:rsidRPr="002633FC">
        <w:rPr>
          <w:rFonts w:ascii="Bookman Old Style" w:hAnsi="Bookman Old Style"/>
          <w:sz w:val="28"/>
          <w:szCs w:val="28"/>
          <w:lang w:val="en-US"/>
        </w:rPr>
        <w:t>s 127:</w:t>
      </w:r>
    </w:p>
    <w:p w14:paraId="57D56229" w14:textId="77777777" w:rsidR="002633FC" w:rsidRDefault="002633FC" w:rsidP="002633FC">
      <w:pPr>
        <w:pStyle w:val="ListParagraph"/>
        <w:rPr>
          <w:rFonts w:ascii="Bookman Old Style" w:hAnsi="Bookman Old Style"/>
          <w:sz w:val="28"/>
          <w:szCs w:val="28"/>
          <w:lang w:val="en-US"/>
        </w:rPr>
      </w:pPr>
    </w:p>
    <w:p w14:paraId="30239C08" w14:textId="77777777" w:rsidR="002633FC" w:rsidRDefault="002633FC" w:rsidP="00F453D4">
      <w:pPr>
        <w:tabs>
          <w:tab w:val="left" w:pos="1134"/>
        </w:tabs>
        <w:spacing w:line="360" w:lineRule="auto"/>
        <w:ind w:left="851"/>
        <w:jc w:val="both"/>
        <w:rPr>
          <w:rFonts w:ascii="Bookman Old Style" w:hAnsi="Bookman Old Style"/>
          <w:b/>
          <w:i/>
          <w:lang w:val="en-US"/>
        </w:rPr>
      </w:pPr>
      <w:r w:rsidRPr="004411E8">
        <w:rPr>
          <w:rFonts w:ascii="Bookman Old Style" w:hAnsi="Bookman Old Style"/>
          <w:i/>
          <w:lang w:val="en-US"/>
        </w:rPr>
        <w:t>‘(2)</w:t>
      </w:r>
      <w:r w:rsidR="00F453D4">
        <w:rPr>
          <w:rFonts w:ascii="Bookman Old Style" w:hAnsi="Bookman Old Style"/>
          <w:i/>
          <w:lang w:val="en-US"/>
        </w:rPr>
        <w:tab/>
      </w:r>
      <w:r w:rsidRPr="004411E8">
        <w:rPr>
          <w:rFonts w:ascii="Bookman Old Style" w:hAnsi="Bookman Old Style"/>
          <w:i/>
          <w:lang w:val="en-US"/>
        </w:rPr>
        <w:t xml:space="preserve">If the Court is satisfied that it is necessary or expedient for the purpose of maintaining the value of assets owned or managed by the company, </w:t>
      </w:r>
      <w:r w:rsidRPr="00452232">
        <w:rPr>
          <w:rFonts w:ascii="Bookman Old Style" w:hAnsi="Bookman Old Style"/>
          <w:i/>
          <w:lang w:val="en-US"/>
        </w:rPr>
        <w:t>appoint a liquidator</w:t>
      </w:r>
      <w:r w:rsidRPr="004411E8">
        <w:rPr>
          <w:rFonts w:ascii="Bookman Old Style" w:hAnsi="Bookman Old Style"/>
          <w:i/>
          <w:lang w:val="en-US"/>
        </w:rPr>
        <w:t xml:space="preserve">; </w:t>
      </w:r>
      <w:r w:rsidRPr="00452232">
        <w:rPr>
          <w:rFonts w:ascii="Bookman Old Style" w:hAnsi="Bookman Old Style"/>
          <w:b/>
          <w:i/>
          <w:lang w:val="en-US"/>
        </w:rPr>
        <w:t>otherwise</w:t>
      </w:r>
      <w:r w:rsidRPr="004411E8">
        <w:rPr>
          <w:rFonts w:ascii="Bookman Old Style" w:hAnsi="Bookman Old Style"/>
          <w:i/>
          <w:lang w:val="en-US"/>
        </w:rPr>
        <w:t xml:space="preserve"> </w:t>
      </w:r>
      <w:r w:rsidRPr="00452232">
        <w:rPr>
          <w:rFonts w:ascii="Bookman Old Style" w:hAnsi="Bookman Old Style"/>
          <w:b/>
          <w:i/>
          <w:lang w:val="en-US"/>
        </w:rPr>
        <w:t>the Court shall direct the Master to appoint the liquidator.</w:t>
      </w:r>
    </w:p>
    <w:p w14:paraId="6125B047" w14:textId="77777777" w:rsidR="0007214C" w:rsidRPr="00452232" w:rsidRDefault="0007214C" w:rsidP="0007214C">
      <w:pPr>
        <w:tabs>
          <w:tab w:val="left" w:pos="1134"/>
        </w:tabs>
        <w:spacing w:line="360" w:lineRule="auto"/>
        <w:jc w:val="both"/>
        <w:rPr>
          <w:rFonts w:ascii="Bookman Old Style" w:hAnsi="Bookman Old Style"/>
          <w:b/>
          <w:i/>
          <w:lang w:val="en-US"/>
        </w:rPr>
      </w:pPr>
    </w:p>
    <w:p w14:paraId="7DE877AB" w14:textId="77777777" w:rsidR="002633FC" w:rsidRDefault="00F453D4" w:rsidP="00F453D4">
      <w:pPr>
        <w:tabs>
          <w:tab w:val="left" w:pos="1418"/>
        </w:tabs>
        <w:spacing w:line="360" w:lineRule="auto"/>
        <w:ind w:left="851"/>
        <w:jc w:val="both"/>
        <w:rPr>
          <w:rFonts w:ascii="Bookman Old Style" w:hAnsi="Bookman Old Style"/>
          <w:i/>
          <w:lang w:val="en-US"/>
        </w:rPr>
      </w:pPr>
      <w:r>
        <w:rPr>
          <w:rFonts w:ascii="Bookman Old Style" w:hAnsi="Bookman Old Style"/>
          <w:i/>
          <w:lang w:val="en-US"/>
        </w:rPr>
        <w:t>(3)</w:t>
      </w:r>
      <w:r>
        <w:rPr>
          <w:rFonts w:ascii="Bookman Old Style" w:hAnsi="Bookman Old Style"/>
          <w:i/>
          <w:lang w:val="en-US"/>
        </w:rPr>
        <w:tab/>
      </w:r>
      <w:r w:rsidR="002633FC" w:rsidRPr="004411E8">
        <w:rPr>
          <w:rFonts w:ascii="Bookman Old Style" w:hAnsi="Bookman Old Style"/>
          <w:i/>
          <w:lang w:val="en-US"/>
        </w:rPr>
        <w:t>The appointment of a liquidator by the Court under subsection (2) shall be subject to confirmation by the Master.</w:t>
      </w:r>
    </w:p>
    <w:p w14:paraId="5A43E031" w14:textId="77777777" w:rsidR="0007214C" w:rsidRPr="004411E8" w:rsidRDefault="0007214C" w:rsidP="0007214C">
      <w:pPr>
        <w:tabs>
          <w:tab w:val="left" w:pos="1418"/>
        </w:tabs>
        <w:spacing w:line="360" w:lineRule="auto"/>
        <w:jc w:val="both"/>
        <w:rPr>
          <w:rFonts w:ascii="Bookman Old Style" w:hAnsi="Bookman Old Style"/>
          <w:i/>
          <w:lang w:val="en-US"/>
        </w:rPr>
      </w:pPr>
    </w:p>
    <w:p w14:paraId="78FCA86A" w14:textId="77777777" w:rsidR="002633FC" w:rsidRDefault="00F453D4" w:rsidP="00F453D4">
      <w:pPr>
        <w:tabs>
          <w:tab w:val="left" w:pos="1418"/>
        </w:tabs>
        <w:spacing w:line="360" w:lineRule="auto"/>
        <w:ind w:left="851"/>
        <w:jc w:val="both"/>
        <w:rPr>
          <w:rFonts w:ascii="Bookman Old Style" w:hAnsi="Bookman Old Style"/>
          <w:i/>
          <w:lang w:val="en-US"/>
        </w:rPr>
      </w:pPr>
      <w:r>
        <w:rPr>
          <w:rFonts w:ascii="Bookman Old Style" w:hAnsi="Bookman Old Style"/>
          <w:i/>
          <w:lang w:val="en-US"/>
        </w:rPr>
        <w:t>(4)</w:t>
      </w:r>
      <w:r>
        <w:rPr>
          <w:rFonts w:ascii="Bookman Old Style" w:hAnsi="Bookman Old Style"/>
          <w:i/>
          <w:lang w:val="en-US"/>
        </w:rPr>
        <w:tab/>
      </w:r>
      <w:r w:rsidR="002633FC" w:rsidRPr="00222EB5">
        <w:rPr>
          <w:rFonts w:ascii="Bookman Old Style" w:hAnsi="Bookman Old Style"/>
          <w:i/>
          <w:lang w:val="en-US"/>
        </w:rPr>
        <w:t>Before confirmation by the Master, a liquidator appointed by the Court shall have the rights and powers, duties and entitlements of a liquidator</w:t>
      </w:r>
      <w:r w:rsidR="002633FC" w:rsidRPr="004411E8">
        <w:rPr>
          <w:rFonts w:ascii="Bookman Old Style" w:hAnsi="Bookman Old Style"/>
          <w:i/>
          <w:lang w:val="en-US"/>
        </w:rPr>
        <w:t>, unless the Court limits the powers or imposes conditions on their exercise.</w:t>
      </w:r>
    </w:p>
    <w:p w14:paraId="0FD5EAF0" w14:textId="77777777" w:rsidR="0007214C" w:rsidRPr="004411E8" w:rsidRDefault="0007214C" w:rsidP="0007214C">
      <w:pPr>
        <w:tabs>
          <w:tab w:val="left" w:pos="1418"/>
        </w:tabs>
        <w:spacing w:line="360" w:lineRule="auto"/>
        <w:jc w:val="both"/>
        <w:rPr>
          <w:rFonts w:ascii="Bookman Old Style" w:hAnsi="Bookman Old Style"/>
          <w:i/>
          <w:lang w:val="en-US"/>
        </w:rPr>
      </w:pPr>
    </w:p>
    <w:p w14:paraId="1CA2B98E" w14:textId="77777777" w:rsidR="002633FC" w:rsidRPr="00222EB5" w:rsidRDefault="00F453D4" w:rsidP="00F453D4">
      <w:pPr>
        <w:tabs>
          <w:tab w:val="left" w:pos="1418"/>
        </w:tabs>
        <w:spacing w:line="360" w:lineRule="auto"/>
        <w:ind w:left="851"/>
        <w:jc w:val="both"/>
        <w:rPr>
          <w:rFonts w:ascii="Bookman Old Style" w:hAnsi="Bookman Old Style"/>
          <w:sz w:val="28"/>
          <w:szCs w:val="28"/>
          <w:lang w:val="en-US"/>
        </w:rPr>
      </w:pPr>
      <w:r>
        <w:rPr>
          <w:rFonts w:ascii="Bookman Old Style" w:hAnsi="Bookman Old Style"/>
          <w:i/>
          <w:lang w:val="en-US"/>
        </w:rPr>
        <w:t>(5)</w:t>
      </w:r>
      <w:r>
        <w:rPr>
          <w:rFonts w:ascii="Bookman Old Style" w:hAnsi="Bookman Old Style"/>
          <w:i/>
          <w:lang w:val="en-US"/>
        </w:rPr>
        <w:tab/>
      </w:r>
      <w:r w:rsidR="002633FC" w:rsidRPr="004411E8">
        <w:rPr>
          <w:rFonts w:ascii="Bookman Old Style" w:hAnsi="Bookman Old Style"/>
          <w:i/>
          <w:lang w:val="en-US"/>
        </w:rPr>
        <w:t xml:space="preserve">The Master </w:t>
      </w:r>
      <w:r w:rsidR="002633FC" w:rsidRPr="00222EB5">
        <w:rPr>
          <w:rFonts w:ascii="Bookman Old Style" w:hAnsi="Bookman Old Style"/>
          <w:b/>
          <w:i/>
          <w:lang w:val="en-US"/>
        </w:rPr>
        <w:t>shall confirm or appoint a liquidator in accordance with the law governing insolvency</w:t>
      </w:r>
      <w:r w:rsidR="002633FC" w:rsidRPr="004411E8">
        <w:rPr>
          <w:rFonts w:ascii="Bookman Old Style" w:hAnsi="Bookman Old Style"/>
          <w:i/>
          <w:lang w:val="en-US"/>
        </w:rPr>
        <w:t>.’</w:t>
      </w:r>
      <w:r w:rsidR="002633FC">
        <w:rPr>
          <w:rFonts w:ascii="Bookman Old Style" w:hAnsi="Bookman Old Style"/>
          <w:i/>
          <w:lang w:val="en-US"/>
        </w:rPr>
        <w:t xml:space="preserve"> </w:t>
      </w:r>
      <w:r w:rsidR="002633FC" w:rsidRPr="00222EB5">
        <w:rPr>
          <w:rFonts w:ascii="Bookman Old Style" w:hAnsi="Bookman Old Style"/>
          <w:sz w:val="28"/>
          <w:szCs w:val="28"/>
          <w:lang w:val="en-US"/>
        </w:rPr>
        <w:t>(My emphasis)</w:t>
      </w:r>
      <w:r w:rsidR="002633FC">
        <w:rPr>
          <w:rFonts w:ascii="Bookman Old Style" w:hAnsi="Bookman Old Style"/>
          <w:sz w:val="28"/>
          <w:szCs w:val="28"/>
          <w:lang w:val="en-US"/>
        </w:rPr>
        <w:t>.</w:t>
      </w:r>
    </w:p>
    <w:p w14:paraId="29B53130" w14:textId="77777777" w:rsidR="002633FC" w:rsidRDefault="002633FC" w:rsidP="002633FC">
      <w:pPr>
        <w:pStyle w:val="ListParagraph"/>
        <w:rPr>
          <w:rFonts w:ascii="Bookman Old Style" w:hAnsi="Bookman Old Style"/>
          <w:sz w:val="28"/>
          <w:szCs w:val="28"/>
          <w:lang w:val="en-US"/>
        </w:rPr>
      </w:pPr>
    </w:p>
    <w:p w14:paraId="272CC58C" w14:textId="529A3F51" w:rsidR="002633FC" w:rsidRDefault="00222EB5" w:rsidP="004411E8">
      <w:pPr>
        <w:numPr>
          <w:ilvl w:val="0"/>
          <w:numId w:val="14"/>
        </w:numPr>
        <w:tabs>
          <w:tab w:val="left" w:pos="851"/>
        </w:tabs>
        <w:spacing w:line="360" w:lineRule="auto"/>
        <w:ind w:left="0" w:hanging="11"/>
        <w:contextualSpacing/>
        <w:jc w:val="both"/>
        <w:rPr>
          <w:rFonts w:ascii="Bookman Old Style" w:hAnsi="Bookman Old Style"/>
          <w:sz w:val="28"/>
          <w:szCs w:val="28"/>
          <w:lang w:val="en-US"/>
        </w:rPr>
      </w:pPr>
      <w:r w:rsidRPr="002633FC">
        <w:rPr>
          <w:rFonts w:ascii="Bookman Old Style" w:hAnsi="Bookman Old Style"/>
          <w:sz w:val="28"/>
          <w:szCs w:val="28"/>
          <w:lang w:val="en-US"/>
        </w:rPr>
        <w:t>Subsection (5)</w:t>
      </w:r>
      <w:r w:rsidR="00FE1812">
        <w:rPr>
          <w:rFonts w:ascii="Bookman Old Style" w:hAnsi="Bookman Old Style"/>
          <w:sz w:val="28"/>
          <w:szCs w:val="28"/>
          <w:lang w:val="en-US"/>
        </w:rPr>
        <w:t xml:space="preserve"> of s 127</w:t>
      </w:r>
      <w:r w:rsidRPr="002633FC">
        <w:rPr>
          <w:rFonts w:ascii="Bookman Old Style" w:hAnsi="Bookman Old Style"/>
          <w:sz w:val="28"/>
          <w:szCs w:val="28"/>
          <w:lang w:val="en-US"/>
        </w:rPr>
        <w:t xml:space="preserve"> makes clear that whether the liquidator is confirmed by the M</w:t>
      </w:r>
      <w:r w:rsidR="001426A3">
        <w:rPr>
          <w:rFonts w:ascii="Bookman Old Style" w:hAnsi="Bookman Old Style"/>
          <w:sz w:val="28"/>
          <w:szCs w:val="28"/>
          <w:lang w:val="en-US"/>
        </w:rPr>
        <w:t>aster after appointment by the C</w:t>
      </w:r>
      <w:r w:rsidRPr="002633FC">
        <w:rPr>
          <w:rFonts w:ascii="Bookman Old Style" w:hAnsi="Bookman Old Style"/>
          <w:sz w:val="28"/>
          <w:szCs w:val="28"/>
          <w:lang w:val="en-US"/>
        </w:rPr>
        <w:t xml:space="preserve">ourt or by the Master on the direction of the court, it ‘shall’ be </w:t>
      </w:r>
      <w:r w:rsidR="00FE1812">
        <w:rPr>
          <w:rFonts w:ascii="Bookman Old Style" w:hAnsi="Bookman Old Style"/>
          <w:sz w:val="28"/>
          <w:szCs w:val="28"/>
          <w:lang w:val="en-US"/>
        </w:rPr>
        <w:t>‘</w:t>
      </w:r>
      <w:r w:rsidRPr="002633FC">
        <w:rPr>
          <w:rFonts w:ascii="Bookman Old Style" w:hAnsi="Bookman Old Style"/>
          <w:sz w:val="28"/>
          <w:szCs w:val="28"/>
          <w:lang w:val="en-US"/>
        </w:rPr>
        <w:t>in accordance with the law governing insolvency</w:t>
      </w:r>
      <w:r w:rsidR="00FE1812">
        <w:rPr>
          <w:rFonts w:ascii="Bookman Old Style" w:hAnsi="Bookman Old Style"/>
          <w:sz w:val="28"/>
          <w:szCs w:val="28"/>
          <w:lang w:val="en-US"/>
        </w:rPr>
        <w:t>’</w:t>
      </w:r>
      <w:r w:rsidRPr="002633FC">
        <w:rPr>
          <w:rFonts w:ascii="Bookman Old Style" w:hAnsi="Bookman Old Style"/>
          <w:sz w:val="28"/>
          <w:szCs w:val="28"/>
          <w:lang w:val="en-US"/>
        </w:rPr>
        <w:t xml:space="preserve">. </w:t>
      </w:r>
    </w:p>
    <w:p w14:paraId="7BA34DCB" w14:textId="77777777" w:rsidR="002633FC" w:rsidRDefault="002633FC" w:rsidP="002633FC">
      <w:pPr>
        <w:tabs>
          <w:tab w:val="left" w:pos="851"/>
        </w:tabs>
        <w:spacing w:line="360" w:lineRule="auto"/>
        <w:contextualSpacing/>
        <w:jc w:val="both"/>
        <w:rPr>
          <w:rFonts w:ascii="Bookman Old Style" w:hAnsi="Bookman Old Style"/>
          <w:sz w:val="28"/>
          <w:szCs w:val="28"/>
          <w:lang w:val="en-US"/>
        </w:rPr>
      </w:pPr>
    </w:p>
    <w:p w14:paraId="42EC5EF4" w14:textId="77777777" w:rsidR="002633FC" w:rsidRDefault="008E645C" w:rsidP="000D1B85">
      <w:pPr>
        <w:numPr>
          <w:ilvl w:val="0"/>
          <w:numId w:val="14"/>
        </w:numPr>
        <w:tabs>
          <w:tab w:val="left" w:pos="851"/>
        </w:tabs>
        <w:spacing w:line="360" w:lineRule="auto"/>
        <w:ind w:left="0" w:hanging="11"/>
        <w:contextualSpacing/>
        <w:jc w:val="both"/>
        <w:rPr>
          <w:rFonts w:ascii="Bookman Old Style" w:hAnsi="Bookman Old Style"/>
          <w:sz w:val="28"/>
          <w:szCs w:val="28"/>
          <w:lang w:val="en-US"/>
        </w:rPr>
      </w:pPr>
      <w:r w:rsidRPr="002633FC">
        <w:rPr>
          <w:rFonts w:ascii="Bookman Old Style" w:hAnsi="Bookman Old Style"/>
          <w:sz w:val="28"/>
          <w:szCs w:val="28"/>
          <w:lang w:val="en-US"/>
        </w:rPr>
        <w:t xml:space="preserve">Section </w:t>
      </w:r>
      <w:r w:rsidR="004411E8" w:rsidRPr="002633FC">
        <w:rPr>
          <w:rFonts w:ascii="Bookman Old Style" w:hAnsi="Bookman Old Style"/>
          <w:sz w:val="28"/>
          <w:szCs w:val="28"/>
          <w:lang w:val="en-US"/>
        </w:rPr>
        <w:t xml:space="preserve">128(1) of the CA 2011 </w:t>
      </w:r>
      <w:r w:rsidRPr="002633FC">
        <w:rPr>
          <w:rFonts w:ascii="Bookman Old Style" w:hAnsi="Bookman Old Style"/>
          <w:sz w:val="28"/>
          <w:szCs w:val="28"/>
          <w:lang w:val="en-US"/>
        </w:rPr>
        <w:t xml:space="preserve">in turn </w:t>
      </w:r>
      <w:r w:rsidR="004411E8" w:rsidRPr="002633FC">
        <w:rPr>
          <w:rFonts w:ascii="Bookman Old Style" w:hAnsi="Bookman Old Style"/>
          <w:sz w:val="28"/>
          <w:szCs w:val="28"/>
          <w:lang w:val="en-US"/>
        </w:rPr>
        <w:t>states</w:t>
      </w:r>
      <w:r w:rsidR="000374EC" w:rsidRPr="002633FC">
        <w:rPr>
          <w:rFonts w:ascii="Bookman Old Style" w:hAnsi="Bookman Old Style"/>
          <w:sz w:val="28"/>
          <w:szCs w:val="28"/>
          <w:lang w:val="en-US"/>
        </w:rPr>
        <w:t>:</w:t>
      </w:r>
    </w:p>
    <w:p w14:paraId="01039A60" w14:textId="77777777" w:rsidR="002633FC" w:rsidRDefault="002633FC" w:rsidP="002633FC">
      <w:pPr>
        <w:pStyle w:val="ListParagraph"/>
        <w:rPr>
          <w:rFonts w:ascii="Bookman Old Style" w:hAnsi="Bookman Old Style"/>
          <w:sz w:val="28"/>
          <w:szCs w:val="28"/>
          <w:lang w:val="en-US"/>
        </w:rPr>
      </w:pPr>
    </w:p>
    <w:p w14:paraId="0245FF4A" w14:textId="77777777" w:rsidR="002633FC" w:rsidRDefault="002633FC" w:rsidP="002633FC">
      <w:pPr>
        <w:spacing w:line="360" w:lineRule="auto"/>
        <w:ind w:firstLine="720"/>
        <w:jc w:val="both"/>
        <w:rPr>
          <w:rFonts w:ascii="Bookman Old Style" w:hAnsi="Bookman Old Style"/>
          <w:i/>
          <w:lang w:val="en-US"/>
        </w:rPr>
      </w:pPr>
      <w:r w:rsidRPr="004411E8">
        <w:rPr>
          <w:rFonts w:ascii="Bookman Old Style" w:hAnsi="Bookman Old Style"/>
          <w:i/>
          <w:lang w:val="en-US"/>
        </w:rPr>
        <w:t>‘As from the commencement of the liquidation of a company-</w:t>
      </w:r>
    </w:p>
    <w:p w14:paraId="525F6604" w14:textId="77777777" w:rsidR="0007214C" w:rsidRPr="004411E8" w:rsidRDefault="0007214C" w:rsidP="002633FC">
      <w:pPr>
        <w:spacing w:line="360" w:lineRule="auto"/>
        <w:ind w:firstLine="720"/>
        <w:jc w:val="both"/>
        <w:rPr>
          <w:rFonts w:ascii="Bookman Old Style" w:hAnsi="Bookman Old Style"/>
          <w:i/>
          <w:lang w:val="en-US"/>
        </w:rPr>
      </w:pPr>
    </w:p>
    <w:p w14:paraId="30D98C45" w14:textId="77777777" w:rsidR="002633FC" w:rsidRPr="004411E8" w:rsidRDefault="002633FC" w:rsidP="0007214C">
      <w:pPr>
        <w:pStyle w:val="ListParagraph"/>
        <w:numPr>
          <w:ilvl w:val="0"/>
          <w:numId w:val="8"/>
        </w:numPr>
        <w:spacing w:line="360" w:lineRule="auto"/>
        <w:ind w:left="1418" w:hanging="567"/>
        <w:jc w:val="both"/>
        <w:rPr>
          <w:rFonts w:ascii="Bookman Old Style" w:hAnsi="Bookman Old Style"/>
          <w:i/>
          <w:lang w:val="en-US"/>
        </w:rPr>
      </w:pPr>
      <w:r w:rsidRPr="004411E8">
        <w:rPr>
          <w:rFonts w:ascii="Bookman Old Style" w:hAnsi="Bookman Old Style"/>
          <w:i/>
          <w:lang w:val="en-US"/>
        </w:rPr>
        <w:t>the liquidator shall have custody and control of the company’s assets.’</w:t>
      </w:r>
    </w:p>
    <w:p w14:paraId="24E6F202" w14:textId="77777777" w:rsidR="002633FC" w:rsidRDefault="002633FC" w:rsidP="002633FC">
      <w:pPr>
        <w:pStyle w:val="ListParagraph"/>
        <w:rPr>
          <w:rFonts w:ascii="Bookman Old Style" w:hAnsi="Bookman Old Style"/>
          <w:sz w:val="28"/>
          <w:szCs w:val="28"/>
          <w:lang w:val="en-US"/>
        </w:rPr>
      </w:pPr>
    </w:p>
    <w:p w14:paraId="4ADF0061" w14:textId="77777777" w:rsidR="002633FC" w:rsidRDefault="003844E4" w:rsidP="000D1B85">
      <w:pPr>
        <w:numPr>
          <w:ilvl w:val="0"/>
          <w:numId w:val="14"/>
        </w:numPr>
        <w:tabs>
          <w:tab w:val="left" w:pos="851"/>
        </w:tabs>
        <w:spacing w:line="360" w:lineRule="auto"/>
        <w:ind w:left="0" w:hanging="11"/>
        <w:contextualSpacing/>
        <w:jc w:val="both"/>
        <w:rPr>
          <w:rFonts w:ascii="Bookman Old Style" w:hAnsi="Bookman Old Style"/>
          <w:sz w:val="28"/>
          <w:szCs w:val="28"/>
          <w:lang w:val="en-US"/>
        </w:rPr>
      </w:pPr>
      <w:r w:rsidRPr="002633FC">
        <w:rPr>
          <w:rFonts w:ascii="Bookman Old Style" w:hAnsi="Bookman Old Style"/>
          <w:sz w:val="28"/>
          <w:szCs w:val="28"/>
          <w:lang w:val="en-US"/>
        </w:rPr>
        <w:t xml:space="preserve">Subsection (4) </w:t>
      </w:r>
      <w:r w:rsidR="00CE40B9" w:rsidRPr="002633FC">
        <w:rPr>
          <w:rFonts w:ascii="Bookman Old Style" w:hAnsi="Bookman Old Style"/>
          <w:sz w:val="28"/>
          <w:szCs w:val="28"/>
          <w:lang w:val="en-US"/>
        </w:rPr>
        <w:t xml:space="preserve">of s 127 </w:t>
      </w:r>
      <w:r w:rsidRPr="002633FC">
        <w:rPr>
          <w:rFonts w:ascii="Bookman Old Style" w:hAnsi="Bookman Old Style"/>
          <w:sz w:val="28"/>
          <w:szCs w:val="28"/>
          <w:lang w:val="en-US"/>
        </w:rPr>
        <w:t xml:space="preserve">of the </w:t>
      </w:r>
      <w:r w:rsidR="00CE40B9" w:rsidRPr="002633FC">
        <w:rPr>
          <w:rFonts w:ascii="Bookman Old Style" w:hAnsi="Bookman Old Style"/>
          <w:sz w:val="28"/>
          <w:szCs w:val="28"/>
          <w:lang w:val="en-US"/>
        </w:rPr>
        <w:t xml:space="preserve">CA </w:t>
      </w:r>
      <w:r w:rsidRPr="002633FC">
        <w:rPr>
          <w:rFonts w:ascii="Bookman Old Style" w:hAnsi="Bookman Old Style"/>
          <w:sz w:val="28"/>
          <w:szCs w:val="28"/>
          <w:lang w:val="en-US"/>
        </w:rPr>
        <w:t xml:space="preserve">2011 contemplates that the liquidator appointed by the Court must be confirmed by the Master. But before such confirmation, the liquidator ‘shall have the rights and powers, duties and entitlements of a liquidator, unless the Court limits or imposes conditions </w:t>
      </w:r>
      <w:r w:rsidR="00ED3C6D" w:rsidRPr="002633FC">
        <w:rPr>
          <w:rFonts w:ascii="Bookman Old Style" w:hAnsi="Bookman Old Style"/>
          <w:sz w:val="28"/>
          <w:szCs w:val="28"/>
          <w:lang w:val="en-US"/>
        </w:rPr>
        <w:t>on their exercise.’</w:t>
      </w:r>
      <w:r w:rsidR="00CE40B9" w:rsidRPr="002633FC">
        <w:rPr>
          <w:rFonts w:ascii="Bookman Old Style" w:hAnsi="Bookman Old Style"/>
          <w:sz w:val="28"/>
          <w:szCs w:val="28"/>
          <w:lang w:val="en-US"/>
        </w:rPr>
        <w:t xml:space="preserve"> </w:t>
      </w:r>
    </w:p>
    <w:p w14:paraId="681E7848" w14:textId="77777777" w:rsidR="002633FC" w:rsidRDefault="002633FC" w:rsidP="002633FC">
      <w:pPr>
        <w:tabs>
          <w:tab w:val="left" w:pos="851"/>
        </w:tabs>
        <w:spacing w:line="360" w:lineRule="auto"/>
        <w:contextualSpacing/>
        <w:jc w:val="both"/>
        <w:rPr>
          <w:rFonts w:ascii="Bookman Old Style" w:hAnsi="Bookman Old Style"/>
          <w:sz w:val="28"/>
          <w:szCs w:val="28"/>
          <w:lang w:val="en-US"/>
        </w:rPr>
      </w:pPr>
    </w:p>
    <w:p w14:paraId="73F94356" w14:textId="6703AF1A" w:rsidR="002633FC" w:rsidRDefault="00CE40B9" w:rsidP="000D1B85">
      <w:pPr>
        <w:numPr>
          <w:ilvl w:val="0"/>
          <w:numId w:val="14"/>
        </w:numPr>
        <w:tabs>
          <w:tab w:val="left" w:pos="851"/>
        </w:tabs>
        <w:spacing w:line="360" w:lineRule="auto"/>
        <w:ind w:left="0" w:hanging="11"/>
        <w:contextualSpacing/>
        <w:jc w:val="both"/>
        <w:rPr>
          <w:rFonts w:ascii="Bookman Old Style" w:hAnsi="Bookman Old Style"/>
          <w:sz w:val="28"/>
          <w:szCs w:val="28"/>
          <w:lang w:val="en-US"/>
        </w:rPr>
      </w:pPr>
      <w:r w:rsidRPr="002633FC">
        <w:rPr>
          <w:rFonts w:ascii="Bookman Old Style" w:hAnsi="Bookman Old Style"/>
          <w:sz w:val="28"/>
          <w:szCs w:val="28"/>
          <w:lang w:val="en-US"/>
        </w:rPr>
        <w:lastRenderedPageBreak/>
        <w:t xml:space="preserve">In other words, upon appointment by the Court and before confirmation by the Master, </w:t>
      </w:r>
      <w:r w:rsidR="00FE1812">
        <w:rPr>
          <w:rFonts w:ascii="Bookman Old Style" w:hAnsi="Bookman Old Style"/>
          <w:sz w:val="28"/>
          <w:szCs w:val="28"/>
          <w:lang w:val="en-US"/>
        </w:rPr>
        <w:t>a</w:t>
      </w:r>
      <w:r w:rsidRPr="002633FC">
        <w:rPr>
          <w:rFonts w:ascii="Bookman Old Style" w:hAnsi="Bookman Old Style"/>
          <w:sz w:val="28"/>
          <w:szCs w:val="28"/>
          <w:lang w:val="en-US"/>
        </w:rPr>
        <w:t xml:space="preserve"> </w:t>
      </w:r>
      <w:r w:rsidR="00FE1812">
        <w:rPr>
          <w:rFonts w:ascii="Bookman Old Style" w:hAnsi="Bookman Old Style"/>
          <w:sz w:val="28"/>
          <w:szCs w:val="28"/>
          <w:lang w:val="en-US"/>
        </w:rPr>
        <w:t>l</w:t>
      </w:r>
      <w:r w:rsidRPr="002633FC">
        <w:rPr>
          <w:rFonts w:ascii="Bookman Old Style" w:hAnsi="Bookman Old Style"/>
          <w:sz w:val="28"/>
          <w:szCs w:val="28"/>
          <w:lang w:val="en-US"/>
        </w:rPr>
        <w:t>iquidator has the same powers as the liquidator appointed by the Master.</w:t>
      </w:r>
      <w:r w:rsidR="00F830DE">
        <w:rPr>
          <w:rStyle w:val="FootnoteReference"/>
          <w:rFonts w:ascii="Bookman Old Style" w:hAnsi="Bookman Old Style"/>
          <w:sz w:val="28"/>
          <w:szCs w:val="28"/>
          <w:lang w:val="en-US"/>
        </w:rPr>
        <w:footnoteReference w:id="3"/>
      </w:r>
      <w:r w:rsidR="00222EB5" w:rsidRPr="002633FC">
        <w:rPr>
          <w:rFonts w:ascii="Bookman Old Style" w:hAnsi="Bookman Old Style"/>
          <w:sz w:val="28"/>
          <w:szCs w:val="28"/>
          <w:lang w:val="en-US"/>
        </w:rPr>
        <w:t xml:space="preserve"> The intent is clear: To cloth the liquidator with sufficient authority to safeguard the assets of the company in the </w:t>
      </w:r>
      <w:r w:rsidR="00222EB5" w:rsidRPr="002633FC">
        <w:rPr>
          <w:rFonts w:ascii="Bookman Old Style" w:hAnsi="Bookman Old Style"/>
          <w:i/>
          <w:sz w:val="28"/>
          <w:szCs w:val="28"/>
          <w:lang w:val="en-US"/>
        </w:rPr>
        <w:t>interregnum</w:t>
      </w:r>
      <w:r w:rsidR="00222EB5" w:rsidRPr="002633FC">
        <w:rPr>
          <w:rFonts w:ascii="Bookman Old Style" w:hAnsi="Bookman Old Style"/>
          <w:sz w:val="28"/>
          <w:szCs w:val="28"/>
          <w:lang w:val="en-US"/>
        </w:rPr>
        <w:t xml:space="preserve"> before confirmation by the Master. The</w:t>
      </w:r>
      <w:r w:rsidR="00577A7E" w:rsidRPr="002633FC">
        <w:rPr>
          <w:rFonts w:ascii="Bookman Old Style" w:hAnsi="Bookman Old Style"/>
          <w:sz w:val="28"/>
          <w:szCs w:val="28"/>
          <w:lang w:val="en-US"/>
        </w:rPr>
        <w:t xml:space="preserve"> liquidator appointed by the court and subject to confirmation by the Master should</w:t>
      </w:r>
      <w:r w:rsidR="001426A3">
        <w:rPr>
          <w:rFonts w:ascii="Bookman Old Style" w:hAnsi="Bookman Old Style"/>
          <w:sz w:val="28"/>
          <w:szCs w:val="28"/>
          <w:lang w:val="en-US"/>
        </w:rPr>
        <w:t>,</w:t>
      </w:r>
      <w:r w:rsidR="00577A7E" w:rsidRPr="002633FC">
        <w:rPr>
          <w:rFonts w:ascii="Bookman Old Style" w:hAnsi="Bookman Old Style"/>
          <w:sz w:val="28"/>
          <w:szCs w:val="28"/>
          <w:lang w:val="en-US"/>
        </w:rPr>
        <w:t xml:space="preserve"> therefore</w:t>
      </w:r>
      <w:r w:rsidR="001426A3">
        <w:rPr>
          <w:rFonts w:ascii="Bookman Old Style" w:hAnsi="Bookman Old Style"/>
          <w:sz w:val="28"/>
          <w:szCs w:val="28"/>
          <w:lang w:val="en-US"/>
        </w:rPr>
        <w:t>,</w:t>
      </w:r>
      <w:r w:rsidR="00577A7E" w:rsidRPr="002633FC">
        <w:rPr>
          <w:rFonts w:ascii="Bookman Old Style" w:hAnsi="Bookman Old Style"/>
          <w:sz w:val="28"/>
          <w:szCs w:val="28"/>
          <w:lang w:val="en-US"/>
        </w:rPr>
        <w:t xml:space="preserve"> not be confused with the one appointed by the Master on the direction of the </w:t>
      </w:r>
      <w:r w:rsidR="000374EC" w:rsidRPr="002633FC">
        <w:rPr>
          <w:rFonts w:ascii="Bookman Old Style" w:hAnsi="Bookman Old Style"/>
          <w:sz w:val="28"/>
          <w:szCs w:val="28"/>
          <w:lang w:val="en-US"/>
        </w:rPr>
        <w:t>C</w:t>
      </w:r>
      <w:r w:rsidR="00577A7E" w:rsidRPr="002633FC">
        <w:rPr>
          <w:rFonts w:ascii="Bookman Old Style" w:hAnsi="Bookman Old Style"/>
          <w:sz w:val="28"/>
          <w:szCs w:val="28"/>
          <w:lang w:val="en-US"/>
        </w:rPr>
        <w:t xml:space="preserve">ourt. </w:t>
      </w:r>
    </w:p>
    <w:p w14:paraId="3C992AA3" w14:textId="77777777" w:rsidR="002633FC" w:rsidRDefault="002633FC" w:rsidP="002633FC">
      <w:pPr>
        <w:pStyle w:val="ListParagraph"/>
        <w:rPr>
          <w:rFonts w:ascii="Bookman Old Style" w:hAnsi="Bookman Old Style"/>
          <w:sz w:val="28"/>
          <w:szCs w:val="28"/>
          <w:lang w:val="en-US"/>
        </w:rPr>
      </w:pPr>
    </w:p>
    <w:p w14:paraId="5B05745F" w14:textId="60F545F2" w:rsidR="002633FC" w:rsidRDefault="009D16A7" w:rsidP="000D1B85">
      <w:pPr>
        <w:numPr>
          <w:ilvl w:val="0"/>
          <w:numId w:val="14"/>
        </w:numPr>
        <w:tabs>
          <w:tab w:val="left" w:pos="851"/>
        </w:tabs>
        <w:spacing w:line="360" w:lineRule="auto"/>
        <w:ind w:left="0" w:hanging="11"/>
        <w:contextualSpacing/>
        <w:jc w:val="both"/>
        <w:rPr>
          <w:rFonts w:ascii="Bookman Old Style" w:hAnsi="Bookman Old Style"/>
          <w:sz w:val="28"/>
          <w:szCs w:val="28"/>
          <w:lang w:val="en-US"/>
        </w:rPr>
      </w:pPr>
      <w:r w:rsidRPr="002633FC">
        <w:rPr>
          <w:rFonts w:ascii="Bookman Old Style" w:hAnsi="Bookman Old Style"/>
          <w:sz w:val="28"/>
          <w:szCs w:val="28"/>
          <w:lang w:val="en-US"/>
        </w:rPr>
        <w:t xml:space="preserve">The parties failed to ventilate in their pleadings and in written submissions on </w:t>
      </w:r>
      <w:r w:rsidR="00FE1812">
        <w:rPr>
          <w:rFonts w:ascii="Bookman Old Style" w:hAnsi="Bookman Old Style"/>
          <w:sz w:val="28"/>
          <w:szCs w:val="28"/>
          <w:lang w:val="en-US"/>
        </w:rPr>
        <w:t xml:space="preserve">appeal the </w:t>
      </w:r>
      <w:proofErr w:type="gramStart"/>
      <w:r w:rsidR="00FE1812">
        <w:rPr>
          <w:rFonts w:ascii="Bookman Old Style" w:hAnsi="Bookman Old Style"/>
          <w:sz w:val="28"/>
          <w:szCs w:val="28"/>
          <w:lang w:val="en-US"/>
        </w:rPr>
        <w:t>manner in which</w:t>
      </w:r>
      <w:proofErr w:type="gramEnd"/>
      <w:r w:rsidR="00FE1812">
        <w:rPr>
          <w:rFonts w:ascii="Bookman Old Style" w:hAnsi="Bookman Old Style"/>
          <w:sz w:val="28"/>
          <w:szCs w:val="28"/>
          <w:lang w:val="en-US"/>
        </w:rPr>
        <w:t xml:space="preserve"> the L</w:t>
      </w:r>
      <w:r w:rsidRPr="002633FC">
        <w:rPr>
          <w:rFonts w:ascii="Bookman Old Style" w:hAnsi="Bookman Old Style"/>
          <w:sz w:val="28"/>
          <w:szCs w:val="28"/>
          <w:lang w:val="en-US"/>
        </w:rPr>
        <w:t xml:space="preserve">iquidators </w:t>
      </w:r>
      <w:r w:rsidR="00577A7E" w:rsidRPr="002633FC">
        <w:rPr>
          <w:rFonts w:ascii="Bookman Old Style" w:hAnsi="Bookman Old Style"/>
          <w:sz w:val="28"/>
          <w:szCs w:val="28"/>
          <w:lang w:val="en-US"/>
        </w:rPr>
        <w:t xml:space="preserve">in the present case </w:t>
      </w:r>
      <w:r w:rsidRPr="002633FC">
        <w:rPr>
          <w:rFonts w:ascii="Bookman Old Style" w:hAnsi="Bookman Old Style"/>
          <w:sz w:val="28"/>
          <w:szCs w:val="28"/>
          <w:lang w:val="en-US"/>
        </w:rPr>
        <w:t>were appointed, yet that is a very important consideration in determining the</w:t>
      </w:r>
      <w:r w:rsidR="00CE40B9" w:rsidRPr="002633FC">
        <w:rPr>
          <w:rFonts w:ascii="Bookman Old Style" w:hAnsi="Bookman Old Style"/>
          <w:sz w:val="28"/>
          <w:szCs w:val="28"/>
          <w:lang w:val="en-US"/>
        </w:rPr>
        <w:t xml:space="preserve"> </w:t>
      </w:r>
      <w:r w:rsidRPr="002633FC">
        <w:rPr>
          <w:rFonts w:ascii="Bookman Old Style" w:hAnsi="Bookman Old Style"/>
          <w:sz w:val="28"/>
          <w:szCs w:val="28"/>
          <w:lang w:val="en-US"/>
        </w:rPr>
        <w:t xml:space="preserve">critical issue they expect the court to decide. </w:t>
      </w:r>
    </w:p>
    <w:p w14:paraId="7B4E5373" w14:textId="77777777" w:rsidR="002633FC" w:rsidRDefault="002633FC" w:rsidP="002633FC">
      <w:pPr>
        <w:pStyle w:val="ListParagraph"/>
        <w:rPr>
          <w:rFonts w:ascii="Bookman Old Style" w:hAnsi="Bookman Old Style"/>
          <w:sz w:val="28"/>
          <w:szCs w:val="28"/>
          <w:lang w:val="en-US"/>
        </w:rPr>
      </w:pPr>
    </w:p>
    <w:p w14:paraId="06E4550C" w14:textId="3C893CB1" w:rsidR="002633FC" w:rsidRDefault="009D16A7" w:rsidP="000D1B85">
      <w:pPr>
        <w:numPr>
          <w:ilvl w:val="0"/>
          <w:numId w:val="14"/>
        </w:numPr>
        <w:tabs>
          <w:tab w:val="left" w:pos="851"/>
        </w:tabs>
        <w:spacing w:line="360" w:lineRule="auto"/>
        <w:ind w:left="0" w:hanging="11"/>
        <w:contextualSpacing/>
        <w:jc w:val="both"/>
        <w:rPr>
          <w:rFonts w:ascii="Bookman Old Style" w:hAnsi="Bookman Old Style"/>
          <w:sz w:val="28"/>
          <w:szCs w:val="28"/>
          <w:lang w:val="en-US"/>
        </w:rPr>
      </w:pPr>
      <w:r w:rsidRPr="002633FC">
        <w:rPr>
          <w:rFonts w:ascii="Bookman Old Style" w:hAnsi="Bookman Old Style"/>
          <w:sz w:val="28"/>
          <w:szCs w:val="28"/>
          <w:lang w:val="en-US"/>
        </w:rPr>
        <w:t>I have had regard to the record and the following becomes apparent from the annexures to the affidavit depose</w:t>
      </w:r>
      <w:r w:rsidR="00D74392" w:rsidRPr="002633FC">
        <w:rPr>
          <w:rFonts w:ascii="Bookman Old Style" w:hAnsi="Bookman Old Style"/>
          <w:sz w:val="28"/>
          <w:szCs w:val="28"/>
          <w:lang w:val="en-US"/>
        </w:rPr>
        <w:t xml:space="preserve">d to </w:t>
      </w:r>
      <w:r w:rsidR="008356D1">
        <w:rPr>
          <w:rFonts w:ascii="Bookman Old Style" w:hAnsi="Bookman Old Style"/>
          <w:sz w:val="28"/>
          <w:szCs w:val="28"/>
          <w:lang w:val="en-US"/>
        </w:rPr>
        <w:t xml:space="preserve">by </w:t>
      </w:r>
      <w:r w:rsidR="00D74392" w:rsidRPr="002633FC">
        <w:rPr>
          <w:rFonts w:ascii="Bookman Old Style" w:hAnsi="Bookman Old Style"/>
          <w:sz w:val="28"/>
          <w:szCs w:val="28"/>
          <w:lang w:val="en-US"/>
        </w:rPr>
        <w:t>FNB</w:t>
      </w:r>
      <w:r w:rsidR="000374EC" w:rsidRPr="002633FC">
        <w:rPr>
          <w:rFonts w:ascii="Bookman Old Style" w:hAnsi="Bookman Old Style"/>
          <w:sz w:val="28"/>
          <w:szCs w:val="28"/>
          <w:lang w:val="en-US"/>
        </w:rPr>
        <w:t>’s</w:t>
      </w:r>
      <w:r w:rsidR="00D74392" w:rsidRPr="002633FC">
        <w:rPr>
          <w:rFonts w:ascii="Bookman Old Style" w:hAnsi="Bookman Old Style"/>
          <w:sz w:val="28"/>
          <w:szCs w:val="28"/>
          <w:lang w:val="en-US"/>
        </w:rPr>
        <w:t xml:space="preserve"> </w:t>
      </w:r>
      <w:r w:rsidR="000374EC" w:rsidRPr="002633FC">
        <w:rPr>
          <w:rFonts w:ascii="Bookman Old Style" w:hAnsi="Bookman Old Style"/>
          <w:sz w:val="28"/>
          <w:szCs w:val="28"/>
          <w:lang w:val="en-US"/>
        </w:rPr>
        <w:t>Head</w:t>
      </w:r>
      <w:r w:rsidR="00D74392" w:rsidRPr="002633FC">
        <w:rPr>
          <w:rFonts w:ascii="Bookman Old Style" w:hAnsi="Bookman Old Style"/>
          <w:sz w:val="28"/>
          <w:szCs w:val="28"/>
          <w:lang w:val="en-US"/>
        </w:rPr>
        <w:t xml:space="preserve"> of Credit, </w:t>
      </w:r>
      <w:proofErr w:type="spellStart"/>
      <w:r w:rsidR="00D74392" w:rsidRPr="002633FC">
        <w:rPr>
          <w:rFonts w:ascii="Bookman Old Style" w:hAnsi="Bookman Old Style"/>
          <w:sz w:val="28"/>
          <w:szCs w:val="28"/>
          <w:lang w:val="en-US"/>
        </w:rPr>
        <w:t>Mr</w:t>
      </w:r>
      <w:proofErr w:type="spellEnd"/>
      <w:r w:rsidR="00D74392" w:rsidRPr="002633FC">
        <w:rPr>
          <w:rFonts w:ascii="Bookman Old Style" w:hAnsi="Bookman Old Style"/>
          <w:sz w:val="28"/>
          <w:szCs w:val="28"/>
          <w:lang w:val="en-US"/>
        </w:rPr>
        <w:t xml:space="preserve"> </w:t>
      </w:r>
      <w:r w:rsidR="000374EC" w:rsidRPr="002633FC">
        <w:rPr>
          <w:rFonts w:ascii="Bookman Old Style" w:hAnsi="Bookman Old Style"/>
          <w:sz w:val="28"/>
          <w:szCs w:val="28"/>
          <w:lang w:val="en-US"/>
        </w:rPr>
        <w:t xml:space="preserve">Vusi </w:t>
      </w:r>
      <w:proofErr w:type="spellStart"/>
      <w:r w:rsidR="00D74392" w:rsidRPr="002633FC">
        <w:rPr>
          <w:rFonts w:ascii="Bookman Old Style" w:hAnsi="Bookman Old Style"/>
          <w:sz w:val="28"/>
          <w:szCs w:val="28"/>
          <w:lang w:val="en-US"/>
        </w:rPr>
        <w:t>Yende</w:t>
      </w:r>
      <w:proofErr w:type="spellEnd"/>
      <w:r w:rsidR="00D74392" w:rsidRPr="002633FC">
        <w:rPr>
          <w:rFonts w:ascii="Bookman Old Style" w:hAnsi="Bookman Old Style"/>
          <w:sz w:val="28"/>
          <w:szCs w:val="28"/>
          <w:lang w:val="en-US"/>
        </w:rPr>
        <w:t>,</w:t>
      </w:r>
      <w:r w:rsidRPr="002633FC">
        <w:rPr>
          <w:rFonts w:ascii="Bookman Old Style" w:hAnsi="Bookman Old Style"/>
          <w:sz w:val="28"/>
          <w:szCs w:val="28"/>
          <w:lang w:val="en-US"/>
        </w:rPr>
        <w:t xml:space="preserve"> on behalf of the Banks</w:t>
      </w:r>
      <w:r w:rsidR="00577A7E" w:rsidRPr="002633FC">
        <w:rPr>
          <w:rFonts w:ascii="Bookman Old Style" w:hAnsi="Bookman Old Style"/>
          <w:sz w:val="28"/>
          <w:szCs w:val="28"/>
          <w:lang w:val="en-US"/>
        </w:rPr>
        <w:t>. I</w:t>
      </w:r>
      <w:r w:rsidR="00D74392" w:rsidRPr="002633FC">
        <w:rPr>
          <w:rFonts w:ascii="Bookman Old Style" w:hAnsi="Bookman Old Style"/>
          <w:sz w:val="28"/>
          <w:szCs w:val="28"/>
          <w:lang w:val="en-US"/>
        </w:rPr>
        <w:t>n a letter dated 9 December 20</w:t>
      </w:r>
      <w:r w:rsidR="00577A7E" w:rsidRPr="002633FC">
        <w:rPr>
          <w:rFonts w:ascii="Bookman Old Style" w:hAnsi="Bookman Old Style"/>
          <w:sz w:val="28"/>
          <w:szCs w:val="28"/>
          <w:lang w:val="en-US"/>
        </w:rPr>
        <w:t>1</w:t>
      </w:r>
      <w:r w:rsidR="00D74392" w:rsidRPr="002633FC">
        <w:rPr>
          <w:rFonts w:ascii="Bookman Old Style" w:hAnsi="Bookman Old Style"/>
          <w:sz w:val="28"/>
          <w:szCs w:val="28"/>
          <w:lang w:val="en-US"/>
        </w:rPr>
        <w:t xml:space="preserve">4 </w:t>
      </w:r>
      <w:r w:rsidR="00577A7E" w:rsidRPr="002633FC">
        <w:rPr>
          <w:rFonts w:ascii="Bookman Old Style" w:hAnsi="Bookman Old Style"/>
          <w:sz w:val="28"/>
          <w:szCs w:val="28"/>
          <w:lang w:val="en-US"/>
        </w:rPr>
        <w:t xml:space="preserve">to the Master (Annexure </w:t>
      </w:r>
      <w:r w:rsidR="00577A7E" w:rsidRPr="002633FC">
        <w:rPr>
          <w:rFonts w:ascii="Bookman Old Style" w:hAnsi="Bookman Old Style"/>
          <w:i/>
          <w:sz w:val="28"/>
          <w:szCs w:val="28"/>
          <w:lang w:val="en-US"/>
        </w:rPr>
        <w:t>FNB 1</w:t>
      </w:r>
      <w:r w:rsidR="00AF5D33" w:rsidRPr="002633FC">
        <w:rPr>
          <w:rFonts w:ascii="Bookman Old Style" w:hAnsi="Bookman Old Style"/>
          <w:iCs/>
          <w:sz w:val="28"/>
          <w:szCs w:val="28"/>
          <w:lang w:val="en-US"/>
        </w:rPr>
        <w:t>:</w:t>
      </w:r>
      <w:r w:rsidR="00D74392" w:rsidRPr="002633FC">
        <w:rPr>
          <w:rFonts w:ascii="Bookman Old Style" w:hAnsi="Bookman Old Style"/>
          <w:sz w:val="28"/>
          <w:szCs w:val="28"/>
          <w:lang w:val="en-US"/>
        </w:rPr>
        <w:t xml:space="preserve"> Record p. 124</w:t>
      </w:r>
      <w:r w:rsidR="00577A7E" w:rsidRPr="002633FC">
        <w:rPr>
          <w:rFonts w:ascii="Bookman Old Style" w:hAnsi="Bookman Old Style"/>
          <w:sz w:val="28"/>
          <w:szCs w:val="28"/>
          <w:lang w:val="en-US"/>
        </w:rPr>
        <w:t xml:space="preserve">) </w:t>
      </w:r>
      <w:r w:rsidR="00D74392" w:rsidRPr="002633FC">
        <w:rPr>
          <w:rFonts w:ascii="Bookman Old Style" w:hAnsi="Bookman Old Style"/>
          <w:sz w:val="28"/>
          <w:szCs w:val="28"/>
          <w:lang w:val="en-US"/>
        </w:rPr>
        <w:t xml:space="preserve">lawyers Du </w:t>
      </w:r>
      <w:proofErr w:type="spellStart"/>
      <w:r w:rsidR="00D74392" w:rsidRPr="002633FC">
        <w:rPr>
          <w:rFonts w:ascii="Bookman Old Style" w:hAnsi="Bookman Old Style"/>
          <w:sz w:val="28"/>
          <w:szCs w:val="28"/>
          <w:lang w:val="en-US"/>
        </w:rPr>
        <w:t>Preez</w:t>
      </w:r>
      <w:proofErr w:type="spellEnd"/>
      <w:r w:rsidR="00D74392" w:rsidRPr="002633FC">
        <w:rPr>
          <w:rFonts w:ascii="Bookman Old Style" w:hAnsi="Bookman Old Style"/>
          <w:sz w:val="28"/>
          <w:szCs w:val="28"/>
          <w:lang w:val="en-US"/>
        </w:rPr>
        <w:t xml:space="preserve">, </w:t>
      </w:r>
      <w:proofErr w:type="spellStart"/>
      <w:r w:rsidR="00D74392" w:rsidRPr="002633FC">
        <w:rPr>
          <w:rFonts w:ascii="Bookman Old Style" w:hAnsi="Bookman Old Style"/>
          <w:sz w:val="28"/>
          <w:szCs w:val="28"/>
          <w:lang w:val="en-US"/>
        </w:rPr>
        <w:t>Liebetrau</w:t>
      </w:r>
      <w:proofErr w:type="spellEnd"/>
      <w:r w:rsidR="00D74392" w:rsidRPr="002633FC">
        <w:rPr>
          <w:rFonts w:ascii="Bookman Old Style" w:hAnsi="Bookman Old Style"/>
          <w:sz w:val="28"/>
          <w:szCs w:val="28"/>
          <w:lang w:val="en-US"/>
        </w:rPr>
        <w:t xml:space="preserve"> &amp; Co</w:t>
      </w:r>
      <w:r w:rsidR="00577A7E" w:rsidRPr="002633FC">
        <w:rPr>
          <w:rFonts w:ascii="Bookman Old Style" w:hAnsi="Bookman Old Style"/>
          <w:sz w:val="28"/>
          <w:szCs w:val="28"/>
          <w:lang w:val="en-US"/>
        </w:rPr>
        <w:t>. wrote to</w:t>
      </w:r>
      <w:r w:rsidR="00D74392" w:rsidRPr="002633FC">
        <w:rPr>
          <w:rFonts w:ascii="Bookman Old Style" w:hAnsi="Bookman Old Style"/>
          <w:sz w:val="28"/>
          <w:szCs w:val="28"/>
          <w:lang w:val="en-US"/>
        </w:rPr>
        <w:t xml:space="preserve"> the Master </w:t>
      </w:r>
      <w:r w:rsidR="00577A7E" w:rsidRPr="002633FC">
        <w:rPr>
          <w:rFonts w:ascii="Bookman Old Style" w:hAnsi="Bookman Old Style"/>
          <w:sz w:val="28"/>
          <w:szCs w:val="28"/>
          <w:lang w:val="en-US"/>
        </w:rPr>
        <w:t>on behalf of FNB to record</w:t>
      </w:r>
      <w:r w:rsidR="00D74392" w:rsidRPr="002633FC">
        <w:rPr>
          <w:rFonts w:ascii="Bookman Old Style" w:hAnsi="Bookman Old Style"/>
          <w:sz w:val="28"/>
          <w:szCs w:val="28"/>
          <w:lang w:val="en-US"/>
        </w:rPr>
        <w:t xml:space="preserve"> the following:</w:t>
      </w:r>
    </w:p>
    <w:p w14:paraId="009F60FD" w14:textId="77777777" w:rsidR="002633FC" w:rsidRDefault="002633FC" w:rsidP="002633FC">
      <w:pPr>
        <w:pStyle w:val="ListParagraph"/>
        <w:rPr>
          <w:rFonts w:ascii="Bookman Old Style" w:hAnsi="Bookman Old Style"/>
          <w:sz w:val="28"/>
          <w:szCs w:val="28"/>
          <w:lang w:val="en-US"/>
        </w:rPr>
      </w:pPr>
    </w:p>
    <w:p w14:paraId="7D588327" w14:textId="77777777" w:rsidR="002633FC" w:rsidRPr="0007214C" w:rsidRDefault="002633FC" w:rsidP="00C5702E">
      <w:pPr>
        <w:spacing w:line="360" w:lineRule="auto"/>
        <w:ind w:left="851"/>
        <w:jc w:val="both"/>
        <w:rPr>
          <w:rFonts w:ascii="Bookman Old Style" w:hAnsi="Bookman Old Style"/>
          <w:b/>
          <w:lang w:val="en-US"/>
        </w:rPr>
      </w:pPr>
      <w:r w:rsidRPr="0007214C">
        <w:rPr>
          <w:rFonts w:ascii="Bookman Old Style" w:hAnsi="Bookman Old Style"/>
          <w:b/>
          <w:lang w:val="en-US"/>
        </w:rPr>
        <w:t xml:space="preserve">‘FNB v </w:t>
      </w:r>
      <w:proofErr w:type="spellStart"/>
      <w:r w:rsidRPr="0007214C">
        <w:rPr>
          <w:rFonts w:ascii="Bookman Old Style" w:hAnsi="Bookman Old Style"/>
          <w:b/>
          <w:lang w:val="en-US"/>
        </w:rPr>
        <w:t>Thotanyana</w:t>
      </w:r>
      <w:proofErr w:type="spellEnd"/>
      <w:r w:rsidRPr="0007214C">
        <w:rPr>
          <w:rFonts w:ascii="Bookman Old Style" w:hAnsi="Bookman Old Style"/>
          <w:b/>
          <w:lang w:val="en-US"/>
        </w:rPr>
        <w:t xml:space="preserve"> Mining &amp; Civil Works (Pty) Ltd (CCT/173/2013</w:t>
      </w:r>
    </w:p>
    <w:p w14:paraId="47AC66AE" w14:textId="77777777" w:rsidR="002633FC" w:rsidRPr="0007214C" w:rsidRDefault="002633FC" w:rsidP="00C5702E">
      <w:pPr>
        <w:spacing w:line="360" w:lineRule="auto"/>
        <w:ind w:left="851"/>
        <w:jc w:val="both"/>
        <w:rPr>
          <w:rFonts w:ascii="Bookman Old Style" w:hAnsi="Bookman Old Style"/>
          <w:lang w:val="en-US"/>
        </w:rPr>
      </w:pPr>
      <w:r w:rsidRPr="0007214C">
        <w:rPr>
          <w:rFonts w:ascii="Bookman Old Style" w:hAnsi="Bookman Old Style"/>
          <w:b/>
          <w:lang w:val="en-US"/>
        </w:rPr>
        <w:t xml:space="preserve">Standard Bank Lesotho Bank/ </w:t>
      </w:r>
      <w:proofErr w:type="spellStart"/>
      <w:r w:rsidRPr="0007214C">
        <w:rPr>
          <w:rFonts w:ascii="Bookman Old Style" w:hAnsi="Bookman Old Style"/>
          <w:b/>
          <w:lang w:val="en-US"/>
        </w:rPr>
        <w:t>Thotanyana</w:t>
      </w:r>
      <w:proofErr w:type="spellEnd"/>
      <w:r w:rsidRPr="0007214C">
        <w:rPr>
          <w:rFonts w:ascii="Bookman Old Style" w:hAnsi="Bookman Old Style"/>
          <w:b/>
          <w:lang w:val="en-US"/>
        </w:rPr>
        <w:t xml:space="preserve"> Mining &amp; Civils (Pty) Ltd (CCA/0033?2014</w:t>
      </w:r>
    </w:p>
    <w:p w14:paraId="3BEBFBCD" w14:textId="77777777" w:rsidR="002633FC" w:rsidRDefault="002633FC" w:rsidP="002633FC">
      <w:pPr>
        <w:spacing w:line="360" w:lineRule="auto"/>
        <w:ind w:left="720"/>
        <w:jc w:val="both"/>
        <w:rPr>
          <w:rFonts w:ascii="Bookman Old Style" w:hAnsi="Bookman Old Style"/>
          <w:sz w:val="28"/>
          <w:szCs w:val="28"/>
          <w:lang w:val="en-US"/>
        </w:rPr>
      </w:pPr>
    </w:p>
    <w:p w14:paraId="6727B219" w14:textId="77777777" w:rsidR="002633FC" w:rsidRDefault="002633FC" w:rsidP="002633FC">
      <w:pPr>
        <w:spacing w:line="360" w:lineRule="auto"/>
        <w:ind w:left="720"/>
        <w:jc w:val="both"/>
        <w:rPr>
          <w:rFonts w:ascii="Bookman Old Style" w:hAnsi="Bookman Old Style"/>
          <w:lang w:val="en-US"/>
        </w:rPr>
      </w:pPr>
      <w:r w:rsidRPr="0007214C">
        <w:rPr>
          <w:rFonts w:ascii="Bookman Old Style" w:hAnsi="Bookman Old Style"/>
          <w:lang w:val="en-US"/>
        </w:rPr>
        <w:lastRenderedPageBreak/>
        <w:t xml:space="preserve">The aforesaid company was liquidated by order of the High Court in the aforesaid application. You are referred thereto that </w:t>
      </w:r>
      <w:r w:rsidRPr="0007214C">
        <w:rPr>
          <w:rFonts w:ascii="Bookman Old Style" w:hAnsi="Bookman Old Style"/>
          <w:b/>
          <w:lang w:val="en-US"/>
        </w:rPr>
        <w:t>the Court directed</w:t>
      </w:r>
      <w:r w:rsidRPr="0007214C">
        <w:rPr>
          <w:rFonts w:ascii="Bookman Old Style" w:hAnsi="Bookman Old Style"/>
          <w:lang w:val="en-US"/>
        </w:rPr>
        <w:t xml:space="preserve"> that you make an appointment of the liquidators in the estate within 14 days. We represent the major creditors in the estate who are exposed to claims against the estate exceeding an amount of M20 million. On behalf of the creditors we therefore request that you appoint the following provisional liquidators upon the nomination of the liquidating creditors herein:</w:t>
      </w:r>
    </w:p>
    <w:p w14:paraId="78E865FC" w14:textId="11B6938F" w:rsidR="002633FC" w:rsidRPr="0007214C" w:rsidRDefault="001B6FDB" w:rsidP="002633FC">
      <w:pPr>
        <w:spacing w:line="360" w:lineRule="auto"/>
        <w:ind w:left="720"/>
        <w:jc w:val="both"/>
        <w:rPr>
          <w:rFonts w:ascii="Bookman Old Style" w:hAnsi="Bookman Old Style"/>
          <w:lang w:val="en-US"/>
        </w:rPr>
      </w:pPr>
      <w:r>
        <w:rPr>
          <w:rFonts w:ascii="Bookman Old Style" w:hAnsi="Bookman Old Style"/>
          <w:lang w:val="en-US"/>
        </w:rPr>
        <w:t xml:space="preserve">Me </w:t>
      </w:r>
      <w:proofErr w:type="spellStart"/>
      <w:r>
        <w:rPr>
          <w:rFonts w:ascii="Bookman Old Style" w:hAnsi="Bookman Old Style"/>
          <w:lang w:val="en-US"/>
        </w:rPr>
        <w:t>Mo</w:t>
      </w:r>
      <w:r w:rsidR="002633FC" w:rsidRPr="0007214C">
        <w:rPr>
          <w:rFonts w:ascii="Bookman Old Style" w:hAnsi="Bookman Old Style"/>
          <w:lang w:val="en-US"/>
        </w:rPr>
        <w:t>r</w:t>
      </w:r>
      <w:r>
        <w:rPr>
          <w:rFonts w:ascii="Bookman Old Style" w:hAnsi="Bookman Old Style"/>
          <w:lang w:val="en-US"/>
        </w:rPr>
        <w:t>oe</w:t>
      </w:r>
      <w:r w:rsidR="002633FC" w:rsidRPr="0007214C">
        <w:rPr>
          <w:rFonts w:ascii="Bookman Old Style" w:hAnsi="Bookman Old Style"/>
          <w:lang w:val="en-US"/>
        </w:rPr>
        <w:t>si</w:t>
      </w:r>
      <w:proofErr w:type="spellEnd"/>
      <w:r w:rsidR="002633FC" w:rsidRPr="0007214C">
        <w:rPr>
          <w:rFonts w:ascii="Bookman Old Style" w:hAnsi="Bookman Old Style"/>
          <w:lang w:val="en-US"/>
        </w:rPr>
        <w:t xml:space="preserve"> Tau</w:t>
      </w:r>
    </w:p>
    <w:p w14:paraId="069D6CE3" w14:textId="77777777" w:rsidR="002633FC" w:rsidRPr="0007214C" w:rsidRDefault="002633FC" w:rsidP="002633FC">
      <w:pPr>
        <w:spacing w:line="360" w:lineRule="auto"/>
        <w:ind w:left="720"/>
        <w:jc w:val="both"/>
        <w:rPr>
          <w:rFonts w:ascii="Bookman Old Style" w:hAnsi="Bookman Old Style"/>
          <w:lang w:val="en-US"/>
        </w:rPr>
      </w:pPr>
      <w:proofErr w:type="spellStart"/>
      <w:r w:rsidRPr="0007214C">
        <w:rPr>
          <w:rFonts w:ascii="Bookman Old Style" w:hAnsi="Bookman Old Style"/>
          <w:lang w:val="en-US"/>
        </w:rPr>
        <w:t>Mr</w:t>
      </w:r>
      <w:proofErr w:type="spellEnd"/>
      <w:r w:rsidRPr="0007214C">
        <w:rPr>
          <w:rFonts w:ascii="Bookman Old Style" w:hAnsi="Bookman Old Style"/>
          <w:lang w:val="en-US"/>
        </w:rPr>
        <w:t xml:space="preserve"> DG Roberts</w:t>
      </w:r>
    </w:p>
    <w:p w14:paraId="6066E926" w14:textId="77777777" w:rsidR="002633FC" w:rsidRPr="0007214C" w:rsidRDefault="002633FC" w:rsidP="002633FC">
      <w:pPr>
        <w:spacing w:line="360" w:lineRule="auto"/>
        <w:ind w:left="720"/>
        <w:jc w:val="both"/>
        <w:rPr>
          <w:rFonts w:ascii="Bookman Old Style" w:hAnsi="Bookman Old Style"/>
          <w:lang w:val="en-US"/>
        </w:rPr>
      </w:pPr>
      <w:proofErr w:type="spellStart"/>
      <w:r w:rsidRPr="0007214C">
        <w:rPr>
          <w:rFonts w:ascii="Bookman Old Style" w:hAnsi="Bookman Old Style"/>
          <w:lang w:val="en-US"/>
        </w:rPr>
        <w:t>Mr</w:t>
      </w:r>
      <w:proofErr w:type="spellEnd"/>
      <w:r w:rsidRPr="0007214C">
        <w:rPr>
          <w:rFonts w:ascii="Bookman Old Style" w:hAnsi="Bookman Old Style"/>
          <w:lang w:val="en-US"/>
        </w:rPr>
        <w:t xml:space="preserve"> CB St. C Cooper’.</w:t>
      </w:r>
    </w:p>
    <w:p w14:paraId="670B48D8" w14:textId="77777777" w:rsidR="002633FC" w:rsidRDefault="002633FC" w:rsidP="002633FC">
      <w:pPr>
        <w:pStyle w:val="ListParagraph"/>
        <w:rPr>
          <w:rFonts w:ascii="Bookman Old Style" w:hAnsi="Bookman Old Style"/>
          <w:sz w:val="28"/>
          <w:szCs w:val="28"/>
          <w:lang w:val="en-US"/>
        </w:rPr>
      </w:pPr>
    </w:p>
    <w:p w14:paraId="36F671D8" w14:textId="77EA1BBA" w:rsidR="002633FC" w:rsidRDefault="002976FF" w:rsidP="002633FC">
      <w:pPr>
        <w:numPr>
          <w:ilvl w:val="0"/>
          <w:numId w:val="14"/>
        </w:numPr>
        <w:tabs>
          <w:tab w:val="left" w:pos="851"/>
        </w:tabs>
        <w:spacing w:line="360" w:lineRule="auto"/>
        <w:ind w:left="0" w:hanging="11"/>
        <w:contextualSpacing/>
        <w:jc w:val="both"/>
        <w:rPr>
          <w:rFonts w:ascii="Bookman Old Style" w:hAnsi="Bookman Old Style"/>
          <w:sz w:val="28"/>
          <w:szCs w:val="28"/>
          <w:lang w:val="en-US"/>
        </w:rPr>
      </w:pPr>
      <w:r w:rsidRPr="002633FC">
        <w:rPr>
          <w:rFonts w:ascii="Bookman Old Style" w:hAnsi="Bookman Old Style"/>
          <w:sz w:val="28"/>
          <w:szCs w:val="28"/>
          <w:lang w:val="en-US"/>
        </w:rPr>
        <w:t>T</w:t>
      </w:r>
      <w:r w:rsidR="00577A7E" w:rsidRPr="002633FC">
        <w:rPr>
          <w:rFonts w:ascii="Bookman Old Style" w:hAnsi="Bookman Old Style"/>
          <w:sz w:val="28"/>
          <w:szCs w:val="28"/>
          <w:lang w:val="en-US"/>
        </w:rPr>
        <w:t xml:space="preserve">hree </w:t>
      </w:r>
      <w:r w:rsidRPr="002633FC">
        <w:rPr>
          <w:rFonts w:ascii="Bookman Old Style" w:hAnsi="Bookman Old Style"/>
          <w:sz w:val="28"/>
          <w:szCs w:val="28"/>
          <w:lang w:val="en-US"/>
        </w:rPr>
        <w:t>things are clear</w:t>
      </w:r>
      <w:r w:rsidR="006C686C" w:rsidRPr="002633FC">
        <w:rPr>
          <w:rFonts w:ascii="Bookman Old Style" w:hAnsi="Bookman Old Style"/>
          <w:sz w:val="28"/>
          <w:szCs w:val="28"/>
          <w:lang w:val="en-US"/>
        </w:rPr>
        <w:t xml:space="preserve"> from this letter. </w:t>
      </w:r>
      <w:r w:rsidR="00577A7E" w:rsidRPr="002633FC">
        <w:rPr>
          <w:rFonts w:ascii="Bookman Old Style" w:hAnsi="Bookman Old Style"/>
          <w:sz w:val="28"/>
          <w:szCs w:val="28"/>
          <w:lang w:val="en-US"/>
        </w:rPr>
        <w:t xml:space="preserve">First, the </w:t>
      </w:r>
      <w:r w:rsidR="00AF5D33" w:rsidRPr="002633FC">
        <w:rPr>
          <w:rFonts w:ascii="Bookman Old Style" w:hAnsi="Bookman Old Style"/>
          <w:sz w:val="28"/>
          <w:szCs w:val="28"/>
          <w:lang w:val="en-US"/>
        </w:rPr>
        <w:t>C</w:t>
      </w:r>
      <w:r w:rsidR="006C686C" w:rsidRPr="002633FC">
        <w:rPr>
          <w:rFonts w:ascii="Bookman Old Style" w:hAnsi="Bookman Old Style"/>
          <w:sz w:val="28"/>
          <w:szCs w:val="28"/>
          <w:lang w:val="en-US"/>
        </w:rPr>
        <w:t>ourt gr</w:t>
      </w:r>
      <w:r w:rsidRPr="002633FC">
        <w:rPr>
          <w:rFonts w:ascii="Bookman Old Style" w:hAnsi="Bookman Old Style"/>
          <w:sz w:val="28"/>
          <w:szCs w:val="28"/>
          <w:lang w:val="en-US"/>
        </w:rPr>
        <w:t>a</w:t>
      </w:r>
      <w:r w:rsidR="006C686C" w:rsidRPr="002633FC">
        <w:rPr>
          <w:rFonts w:ascii="Bookman Old Style" w:hAnsi="Bookman Old Style"/>
          <w:sz w:val="28"/>
          <w:szCs w:val="28"/>
          <w:lang w:val="en-US"/>
        </w:rPr>
        <w:t>n</w:t>
      </w:r>
      <w:r w:rsidRPr="002633FC">
        <w:rPr>
          <w:rFonts w:ascii="Bookman Old Style" w:hAnsi="Bookman Old Style"/>
          <w:sz w:val="28"/>
          <w:szCs w:val="28"/>
          <w:lang w:val="en-US"/>
        </w:rPr>
        <w:t xml:space="preserve">ted an order of liquidation without appointing liquidators. </w:t>
      </w:r>
      <w:r w:rsidR="00577A7E" w:rsidRPr="002633FC">
        <w:rPr>
          <w:rFonts w:ascii="Bookman Old Style" w:hAnsi="Bookman Old Style"/>
          <w:sz w:val="28"/>
          <w:szCs w:val="28"/>
          <w:lang w:val="en-US"/>
        </w:rPr>
        <w:t xml:space="preserve">Second, the </w:t>
      </w:r>
      <w:r w:rsidR="00AF5D33" w:rsidRPr="002633FC">
        <w:rPr>
          <w:rFonts w:ascii="Bookman Old Style" w:hAnsi="Bookman Old Style"/>
          <w:sz w:val="28"/>
          <w:szCs w:val="28"/>
          <w:lang w:val="en-US"/>
        </w:rPr>
        <w:t>C</w:t>
      </w:r>
      <w:r w:rsidRPr="002633FC">
        <w:rPr>
          <w:rFonts w:ascii="Bookman Old Style" w:hAnsi="Bookman Old Style"/>
          <w:sz w:val="28"/>
          <w:szCs w:val="28"/>
          <w:lang w:val="en-US"/>
        </w:rPr>
        <w:t xml:space="preserve">ourt directed the Master to appoint </w:t>
      </w:r>
      <w:r w:rsidR="00687A79" w:rsidRPr="002633FC">
        <w:rPr>
          <w:rFonts w:ascii="Bookman Old Style" w:hAnsi="Bookman Old Style"/>
          <w:sz w:val="28"/>
          <w:szCs w:val="28"/>
          <w:lang w:val="en-US"/>
        </w:rPr>
        <w:t xml:space="preserve">the </w:t>
      </w:r>
      <w:r w:rsidRPr="002633FC">
        <w:rPr>
          <w:rFonts w:ascii="Bookman Old Style" w:hAnsi="Bookman Old Style"/>
          <w:sz w:val="28"/>
          <w:szCs w:val="28"/>
          <w:lang w:val="en-US"/>
        </w:rPr>
        <w:t>liquidator</w:t>
      </w:r>
      <w:r w:rsidR="00577A7E" w:rsidRPr="002633FC">
        <w:rPr>
          <w:rFonts w:ascii="Bookman Old Style" w:hAnsi="Bookman Old Style"/>
          <w:sz w:val="28"/>
          <w:szCs w:val="28"/>
          <w:lang w:val="en-US"/>
        </w:rPr>
        <w:t>s</w:t>
      </w:r>
      <w:r w:rsidRPr="002633FC">
        <w:rPr>
          <w:rFonts w:ascii="Bookman Old Style" w:hAnsi="Bookman Old Style"/>
          <w:sz w:val="28"/>
          <w:szCs w:val="28"/>
          <w:lang w:val="en-US"/>
        </w:rPr>
        <w:t>.</w:t>
      </w:r>
      <w:r w:rsidR="00577A7E" w:rsidRPr="002633FC">
        <w:rPr>
          <w:rFonts w:ascii="Bookman Old Style" w:hAnsi="Bookman Old Style"/>
          <w:sz w:val="28"/>
          <w:szCs w:val="28"/>
          <w:lang w:val="en-US"/>
        </w:rPr>
        <w:t xml:space="preserve"> Third, the </w:t>
      </w:r>
      <w:proofErr w:type="gramStart"/>
      <w:r w:rsidR="00577A7E" w:rsidRPr="002633FC">
        <w:rPr>
          <w:rFonts w:ascii="Bookman Old Style" w:hAnsi="Bookman Old Style"/>
          <w:sz w:val="28"/>
          <w:szCs w:val="28"/>
          <w:lang w:val="en-US"/>
        </w:rPr>
        <w:t>lawyers</w:t>
      </w:r>
      <w:proofErr w:type="gramEnd"/>
      <w:r w:rsidR="00577A7E" w:rsidRPr="002633FC">
        <w:rPr>
          <w:rFonts w:ascii="Bookman Old Style" w:hAnsi="Bookman Old Style"/>
          <w:sz w:val="28"/>
          <w:szCs w:val="28"/>
          <w:lang w:val="en-US"/>
        </w:rPr>
        <w:t xml:space="preserve"> mis</w:t>
      </w:r>
      <w:r w:rsidR="008356D1">
        <w:rPr>
          <w:rFonts w:ascii="Bookman Old Style" w:hAnsi="Bookman Old Style"/>
          <w:sz w:val="28"/>
          <w:szCs w:val="28"/>
          <w:lang w:val="en-US"/>
        </w:rPr>
        <w:t>-</w:t>
      </w:r>
      <w:proofErr w:type="spellStart"/>
      <w:r w:rsidR="00577A7E" w:rsidRPr="002633FC">
        <w:rPr>
          <w:rFonts w:ascii="Bookman Old Style" w:hAnsi="Bookman Old Style"/>
          <w:sz w:val="28"/>
          <w:szCs w:val="28"/>
          <w:lang w:val="en-US"/>
        </w:rPr>
        <w:t>characterised</w:t>
      </w:r>
      <w:proofErr w:type="spellEnd"/>
      <w:r w:rsidR="00577A7E" w:rsidRPr="002633FC">
        <w:rPr>
          <w:rFonts w:ascii="Bookman Old Style" w:hAnsi="Bookman Old Style"/>
          <w:sz w:val="28"/>
          <w:szCs w:val="28"/>
          <w:lang w:val="en-US"/>
        </w:rPr>
        <w:t xml:space="preserve"> the liquidators to be appointed by the Master by importing the language of ‘provisional liquidator’ not used in the CA 2011.</w:t>
      </w:r>
    </w:p>
    <w:p w14:paraId="277A2A1C" w14:textId="77777777" w:rsidR="002633FC" w:rsidRPr="002633FC" w:rsidRDefault="002633FC" w:rsidP="002633FC">
      <w:pPr>
        <w:tabs>
          <w:tab w:val="left" w:pos="851"/>
        </w:tabs>
        <w:spacing w:line="360" w:lineRule="auto"/>
        <w:contextualSpacing/>
        <w:jc w:val="both"/>
        <w:rPr>
          <w:rFonts w:ascii="Bookman Old Style" w:hAnsi="Bookman Old Style"/>
          <w:sz w:val="28"/>
          <w:szCs w:val="28"/>
          <w:lang w:val="en-US"/>
        </w:rPr>
      </w:pPr>
    </w:p>
    <w:p w14:paraId="14AE4852" w14:textId="2BE73329" w:rsidR="002633FC" w:rsidRDefault="002976FF" w:rsidP="000D1B85">
      <w:pPr>
        <w:numPr>
          <w:ilvl w:val="0"/>
          <w:numId w:val="14"/>
        </w:numPr>
        <w:tabs>
          <w:tab w:val="left" w:pos="851"/>
        </w:tabs>
        <w:spacing w:line="360" w:lineRule="auto"/>
        <w:ind w:left="0" w:hanging="11"/>
        <w:contextualSpacing/>
        <w:jc w:val="both"/>
        <w:rPr>
          <w:rFonts w:ascii="Bookman Old Style" w:hAnsi="Bookman Old Style"/>
          <w:sz w:val="28"/>
          <w:szCs w:val="28"/>
          <w:lang w:val="en-US"/>
        </w:rPr>
      </w:pPr>
      <w:r w:rsidRPr="002633FC">
        <w:rPr>
          <w:rFonts w:ascii="Bookman Old Style" w:hAnsi="Bookman Old Style"/>
          <w:sz w:val="28"/>
          <w:szCs w:val="28"/>
          <w:lang w:val="en-US"/>
        </w:rPr>
        <w:t xml:space="preserve">I have already demonstrated that the </w:t>
      </w:r>
      <w:r w:rsidR="00ED3C6D" w:rsidRPr="002633FC">
        <w:rPr>
          <w:rFonts w:ascii="Bookman Old Style" w:hAnsi="Bookman Old Style"/>
          <w:sz w:val="28"/>
          <w:szCs w:val="28"/>
          <w:lang w:val="en-US"/>
        </w:rPr>
        <w:t>Master either conf</w:t>
      </w:r>
      <w:r w:rsidR="008B72D1" w:rsidRPr="002633FC">
        <w:rPr>
          <w:rFonts w:ascii="Bookman Old Style" w:hAnsi="Bookman Old Style"/>
          <w:sz w:val="28"/>
          <w:szCs w:val="28"/>
          <w:lang w:val="en-US"/>
        </w:rPr>
        <w:t>irms a liquidator (</w:t>
      </w:r>
      <w:proofErr w:type="spellStart"/>
      <w:r w:rsidR="008B72D1" w:rsidRPr="002633FC">
        <w:rPr>
          <w:rFonts w:ascii="Bookman Old Style" w:hAnsi="Bookman Old Style"/>
          <w:sz w:val="28"/>
          <w:szCs w:val="28"/>
          <w:lang w:val="en-US"/>
        </w:rPr>
        <w:t>ie</w:t>
      </w:r>
      <w:proofErr w:type="spellEnd"/>
      <w:r w:rsidR="008B72D1" w:rsidRPr="002633FC">
        <w:rPr>
          <w:rFonts w:ascii="Bookman Old Style" w:hAnsi="Bookman Old Style"/>
          <w:sz w:val="28"/>
          <w:szCs w:val="28"/>
          <w:lang w:val="en-US"/>
        </w:rPr>
        <w:t xml:space="preserve"> when the </w:t>
      </w:r>
      <w:r w:rsidR="00AF5D33" w:rsidRPr="002633FC">
        <w:rPr>
          <w:rFonts w:ascii="Bookman Old Style" w:hAnsi="Bookman Old Style"/>
          <w:sz w:val="28"/>
          <w:szCs w:val="28"/>
          <w:lang w:val="en-US"/>
        </w:rPr>
        <w:t>C</w:t>
      </w:r>
      <w:r w:rsidR="00ED3C6D" w:rsidRPr="002633FC">
        <w:rPr>
          <w:rFonts w:ascii="Bookman Old Style" w:hAnsi="Bookman Old Style"/>
          <w:sz w:val="28"/>
          <w:szCs w:val="28"/>
          <w:lang w:val="en-US"/>
        </w:rPr>
        <w:t>ourt appoints), or appoints one when the Court has not itself appointed, ‘in accordance with the law governing insolvency’.</w:t>
      </w:r>
      <w:r w:rsidR="00ED3C6D" w:rsidRPr="004B5D91">
        <w:rPr>
          <w:rStyle w:val="FootnoteReference"/>
          <w:rFonts w:ascii="Bookman Old Style" w:hAnsi="Bookman Old Style"/>
          <w:sz w:val="28"/>
          <w:szCs w:val="28"/>
          <w:lang w:val="en-US"/>
        </w:rPr>
        <w:footnoteReference w:id="4"/>
      </w:r>
      <w:r w:rsidR="008356D1">
        <w:rPr>
          <w:rFonts w:ascii="Bookman Old Style" w:hAnsi="Bookman Old Style"/>
          <w:sz w:val="28"/>
          <w:szCs w:val="28"/>
          <w:lang w:val="en-US"/>
        </w:rPr>
        <w:t xml:space="preserve"> The L</w:t>
      </w:r>
      <w:r w:rsidRPr="002633FC">
        <w:rPr>
          <w:rFonts w:ascii="Bookman Old Style" w:hAnsi="Bookman Old Style"/>
          <w:sz w:val="28"/>
          <w:szCs w:val="28"/>
          <w:lang w:val="en-US"/>
        </w:rPr>
        <w:t xml:space="preserve">iquidators in the present case </w:t>
      </w:r>
      <w:r w:rsidR="006C686C" w:rsidRPr="002633FC">
        <w:rPr>
          <w:rFonts w:ascii="Bookman Old Style" w:hAnsi="Bookman Old Style"/>
          <w:sz w:val="28"/>
          <w:szCs w:val="28"/>
          <w:lang w:val="en-US"/>
        </w:rPr>
        <w:t>are therefore appointed by the M</w:t>
      </w:r>
      <w:r w:rsidRPr="002633FC">
        <w:rPr>
          <w:rFonts w:ascii="Bookman Old Style" w:hAnsi="Bookman Old Style"/>
          <w:sz w:val="28"/>
          <w:szCs w:val="28"/>
          <w:lang w:val="en-US"/>
        </w:rPr>
        <w:t xml:space="preserve">aster </w:t>
      </w:r>
      <w:r w:rsidR="00FE1812">
        <w:rPr>
          <w:rFonts w:ascii="Bookman Old Style" w:hAnsi="Bookman Old Style"/>
          <w:sz w:val="28"/>
          <w:szCs w:val="28"/>
          <w:lang w:val="en-US"/>
        </w:rPr>
        <w:t>on the direction of the C</w:t>
      </w:r>
      <w:r w:rsidR="00687A79" w:rsidRPr="002633FC">
        <w:rPr>
          <w:rFonts w:ascii="Bookman Old Style" w:hAnsi="Bookman Old Style"/>
          <w:sz w:val="28"/>
          <w:szCs w:val="28"/>
          <w:lang w:val="en-US"/>
        </w:rPr>
        <w:t>ourt ‘</w:t>
      </w:r>
      <w:r w:rsidRPr="002633FC">
        <w:rPr>
          <w:rFonts w:ascii="Bookman Old Style" w:hAnsi="Bookman Old Style"/>
          <w:sz w:val="28"/>
          <w:szCs w:val="28"/>
          <w:lang w:val="en-US"/>
        </w:rPr>
        <w:t>in accordance with the law governing insolvency</w:t>
      </w:r>
      <w:r w:rsidR="00687A79" w:rsidRPr="002633FC">
        <w:rPr>
          <w:rFonts w:ascii="Bookman Old Style" w:hAnsi="Bookman Old Style"/>
          <w:sz w:val="28"/>
          <w:szCs w:val="28"/>
          <w:lang w:val="en-US"/>
        </w:rPr>
        <w:t>’</w:t>
      </w:r>
      <w:r w:rsidRPr="002633FC">
        <w:rPr>
          <w:rFonts w:ascii="Bookman Old Style" w:hAnsi="Bookman Old Style"/>
          <w:sz w:val="28"/>
          <w:szCs w:val="28"/>
          <w:lang w:val="en-US"/>
        </w:rPr>
        <w:t>.</w:t>
      </w:r>
      <w:r w:rsidR="006C686C" w:rsidRPr="002633FC">
        <w:rPr>
          <w:rFonts w:ascii="Bookman Old Style" w:hAnsi="Bookman Old Style"/>
          <w:sz w:val="28"/>
          <w:szCs w:val="28"/>
          <w:lang w:val="en-US"/>
        </w:rPr>
        <w:t xml:space="preserve"> </w:t>
      </w:r>
    </w:p>
    <w:p w14:paraId="7D192496" w14:textId="77777777" w:rsidR="002633FC" w:rsidRDefault="002633FC" w:rsidP="002633FC">
      <w:pPr>
        <w:pStyle w:val="ListParagraph"/>
        <w:rPr>
          <w:rFonts w:ascii="Bookman Old Style" w:hAnsi="Bookman Old Style"/>
          <w:sz w:val="28"/>
          <w:szCs w:val="28"/>
          <w:lang w:val="en-US"/>
        </w:rPr>
      </w:pPr>
    </w:p>
    <w:p w14:paraId="489D948A" w14:textId="77777777" w:rsidR="002633FC" w:rsidRDefault="00CE40B9" w:rsidP="000D1B85">
      <w:pPr>
        <w:numPr>
          <w:ilvl w:val="0"/>
          <w:numId w:val="14"/>
        </w:numPr>
        <w:tabs>
          <w:tab w:val="left" w:pos="851"/>
        </w:tabs>
        <w:spacing w:line="360" w:lineRule="auto"/>
        <w:ind w:left="0" w:hanging="11"/>
        <w:contextualSpacing/>
        <w:jc w:val="both"/>
        <w:rPr>
          <w:rFonts w:ascii="Bookman Old Style" w:hAnsi="Bookman Old Style"/>
          <w:sz w:val="28"/>
          <w:szCs w:val="28"/>
          <w:lang w:val="en-US"/>
        </w:rPr>
      </w:pPr>
      <w:r w:rsidRPr="002633FC">
        <w:rPr>
          <w:rFonts w:ascii="Bookman Old Style" w:hAnsi="Bookman Old Style"/>
          <w:sz w:val="28"/>
          <w:szCs w:val="28"/>
          <w:lang w:val="en-US"/>
        </w:rPr>
        <w:t>The appointment of a li</w:t>
      </w:r>
      <w:r w:rsidR="0037068E" w:rsidRPr="002633FC">
        <w:rPr>
          <w:rFonts w:ascii="Bookman Old Style" w:hAnsi="Bookman Old Style"/>
          <w:sz w:val="28"/>
          <w:szCs w:val="28"/>
          <w:lang w:val="en-US"/>
        </w:rPr>
        <w:t>quidator (</w:t>
      </w:r>
      <w:r w:rsidRPr="002633FC">
        <w:rPr>
          <w:rFonts w:ascii="Bookman Old Style" w:hAnsi="Bookman Old Style"/>
          <w:sz w:val="28"/>
          <w:szCs w:val="28"/>
          <w:lang w:val="en-US"/>
        </w:rPr>
        <w:t xml:space="preserve">or </w:t>
      </w:r>
      <w:r w:rsidR="0037068E" w:rsidRPr="002633FC">
        <w:rPr>
          <w:rFonts w:ascii="Bookman Old Style" w:hAnsi="Bookman Old Style"/>
          <w:sz w:val="28"/>
          <w:szCs w:val="28"/>
          <w:lang w:val="en-US"/>
        </w:rPr>
        <w:t>‘</w:t>
      </w:r>
      <w:r w:rsidRPr="002633FC">
        <w:rPr>
          <w:rFonts w:ascii="Bookman Old Style" w:hAnsi="Bookman Old Style"/>
          <w:sz w:val="28"/>
          <w:szCs w:val="28"/>
          <w:lang w:val="en-US"/>
        </w:rPr>
        <w:t>trustee</w:t>
      </w:r>
      <w:r w:rsidR="0037068E" w:rsidRPr="002633FC">
        <w:rPr>
          <w:rFonts w:ascii="Bookman Old Style" w:hAnsi="Bookman Old Style"/>
          <w:sz w:val="28"/>
          <w:szCs w:val="28"/>
          <w:lang w:val="en-US"/>
        </w:rPr>
        <w:t>’</w:t>
      </w:r>
      <w:r w:rsidRPr="002633FC">
        <w:rPr>
          <w:rFonts w:ascii="Bookman Old Style" w:hAnsi="Bookman Old Style"/>
          <w:sz w:val="28"/>
          <w:szCs w:val="28"/>
          <w:lang w:val="en-US"/>
        </w:rPr>
        <w:t xml:space="preserve"> in the language of the </w:t>
      </w:r>
      <w:r w:rsidR="00D87546" w:rsidRPr="002633FC">
        <w:rPr>
          <w:rFonts w:ascii="Bookman Old Style" w:hAnsi="Bookman Old Style"/>
          <w:sz w:val="28"/>
          <w:szCs w:val="28"/>
          <w:lang w:val="en-US"/>
        </w:rPr>
        <w:t>I</w:t>
      </w:r>
      <w:r w:rsidR="00AF5D33" w:rsidRPr="002633FC">
        <w:rPr>
          <w:rFonts w:ascii="Bookman Old Style" w:hAnsi="Bookman Old Style"/>
          <w:sz w:val="28"/>
          <w:szCs w:val="28"/>
          <w:lang w:val="en-US"/>
        </w:rPr>
        <w:t>nsolvency Proclamation 1957</w:t>
      </w:r>
      <w:r w:rsidR="0037068E" w:rsidRPr="002633FC">
        <w:rPr>
          <w:rFonts w:ascii="Bookman Old Style" w:hAnsi="Bookman Old Style"/>
          <w:sz w:val="28"/>
          <w:szCs w:val="28"/>
          <w:lang w:val="en-US"/>
        </w:rPr>
        <w:t>)</w:t>
      </w:r>
      <w:r w:rsidR="00D87546" w:rsidRPr="002633FC">
        <w:rPr>
          <w:rFonts w:ascii="Bookman Old Style" w:hAnsi="Bookman Old Style"/>
          <w:sz w:val="28"/>
          <w:szCs w:val="28"/>
          <w:lang w:val="en-US"/>
        </w:rPr>
        <w:t xml:space="preserve"> is governed by </w:t>
      </w:r>
      <w:r w:rsidR="008B72D1" w:rsidRPr="002633FC">
        <w:rPr>
          <w:rFonts w:ascii="Bookman Old Style" w:hAnsi="Bookman Old Style"/>
          <w:sz w:val="28"/>
          <w:szCs w:val="28"/>
          <w:lang w:val="en-US"/>
        </w:rPr>
        <w:t xml:space="preserve">s 40 </w:t>
      </w:r>
      <w:r w:rsidR="00687A79" w:rsidRPr="002633FC">
        <w:rPr>
          <w:rFonts w:ascii="Bookman Old Style" w:hAnsi="Bookman Old Style"/>
          <w:sz w:val="28"/>
          <w:szCs w:val="28"/>
          <w:lang w:val="en-US"/>
        </w:rPr>
        <w:t>of th</w:t>
      </w:r>
      <w:r w:rsidR="00AF5D33" w:rsidRPr="002633FC">
        <w:rPr>
          <w:rFonts w:ascii="Bookman Old Style" w:hAnsi="Bookman Old Style"/>
          <w:sz w:val="28"/>
          <w:szCs w:val="28"/>
          <w:lang w:val="en-US"/>
        </w:rPr>
        <w:t xml:space="preserve">at </w:t>
      </w:r>
      <w:r w:rsidR="00687A79" w:rsidRPr="002633FC">
        <w:rPr>
          <w:rFonts w:ascii="Bookman Old Style" w:hAnsi="Bookman Old Style"/>
          <w:sz w:val="28"/>
          <w:szCs w:val="28"/>
          <w:lang w:val="en-US"/>
        </w:rPr>
        <w:t>P</w:t>
      </w:r>
      <w:r w:rsidR="008B72D1" w:rsidRPr="002633FC">
        <w:rPr>
          <w:rFonts w:ascii="Bookman Old Style" w:hAnsi="Bookman Old Style"/>
          <w:sz w:val="28"/>
          <w:szCs w:val="28"/>
          <w:lang w:val="en-US"/>
        </w:rPr>
        <w:t>roclamation, which states:</w:t>
      </w:r>
      <w:r w:rsidRPr="002633FC">
        <w:rPr>
          <w:rFonts w:ascii="Bookman Old Style" w:hAnsi="Bookman Old Style"/>
          <w:sz w:val="28"/>
          <w:szCs w:val="28"/>
          <w:lang w:val="en-US"/>
        </w:rPr>
        <w:t xml:space="preserve"> </w:t>
      </w:r>
    </w:p>
    <w:p w14:paraId="362823FA" w14:textId="77777777" w:rsidR="002633FC" w:rsidRDefault="002633FC" w:rsidP="002633FC">
      <w:pPr>
        <w:spacing w:line="360" w:lineRule="auto"/>
        <w:jc w:val="both"/>
        <w:rPr>
          <w:rFonts w:ascii="Bookman Old Style" w:hAnsi="Bookman Old Style"/>
          <w:sz w:val="28"/>
          <w:szCs w:val="28"/>
          <w:lang w:val="en-US"/>
        </w:rPr>
      </w:pPr>
    </w:p>
    <w:p w14:paraId="3CF8EEC9" w14:textId="77777777" w:rsidR="002633FC" w:rsidRDefault="002633FC" w:rsidP="0007214C">
      <w:pPr>
        <w:pStyle w:val="ListParagraph"/>
        <w:numPr>
          <w:ilvl w:val="0"/>
          <w:numId w:val="10"/>
        </w:numPr>
        <w:spacing w:line="360" w:lineRule="auto"/>
        <w:ind w:left="1418" w:hanging="567"/>
        <w:jc w:val="both"/>
        <w:rPr>
          <w:rFonts w:ascii="Bookman Old Style" w:hAnsi="Bookman Old Style"/>
          <w:i/>
          <w:lang w:val="en-US"/>
        </w:rPr>
      </w:pPr>
      <w:r w:rsidRPr="008B72D1">
        <w:rPr>
          <w:rFonts w:ascii="Bookman Old Style" w:hAnsi="Bookman Old Style"/>
          <w:i/>
          <w:lang w:val="en-US"/>
        </w:rPr>
        <w:t>On receipt of an order of the Court sequestrating an estate finally, the Master shall immediately convene by notice in the Gazette, a first meeting of the creditors of the estate for the proof of their claims against the estate and for the election of a trustee.</w:t>
      </w:r>
    </w:p>
    <w:p w14:paraId="34ED5B01" w14:textId="77777777" w:rsidR="00A93EBB" w:rsidRDefault="00A93EBB" w:rsidP="0007214C">
      <w:pPr>
        <w:pStyle w:val="ListParagraph"/>
        <w:spacing w:line="360" w:lineRule="auto"/>
        <w:ind w:left="1418" w:hanging="567"/>
        <w:jc w:val="both"/>
        <w:rPr>
          <w:rFonts w:ascii="Bookman Old Style" w:hAnsi="Bookman Old Style"/>
          <w:i/>
          <w:lang w:val="en-US"/>
        </w:rPr>
      </w:pPr>
    </w:p>
    <w:p w14:paraId="10C901DE" w14:textId="77777777" w:rsidR="002633FC" w:rsidRDefault="002633FC" w:rsidP="0007214C">
      <w:pPr>
        <w:pStyle w:val="ListParagraph"/>
        <w:numPr>
          <w:ilvl w:val="0"/>
          <w:numId w:val="10"/>
        </w:numPr>
        <w:spacing w:line="360" w:lineRule="auto"/>
        <w:ind w:left="1418" w:hanging="567"/>
        <w:jc w:val="both"/>
        <w:rPr>
          <w:rFonts w:ascii="Bookman Old Style" w:hAnsi="Bookman Old Style"/>
          <w:i/>
          <w:lang w:val="en-US"/>
        </w:rPr>
      </w:pPr>
      <w:r>
        <w:rPr>
          <w:rFonts w:ascii="Bookman Old Style" w:hAnsi="Bookman Old Style"/>
          <w:i/>
          <w:lang w:val="en-US"/>
        </w:rPr>
        <w:t>The Master shall publish such notice on a date not less than ten days before the date upon which the meeting is to be held and shall in such notice state the time and place at which the meeting is to be held.</w:t>
      </w:r>
    </w:p>
    <w:p w14:paraId="0A596696" w14:textId="77777777" w:rsidR="00A93EBB" w:rsidRDefault="00A93EBB" w:rsidP="0007214C">
      <w:pPr>
        <w:pStyle w:val="ListParagraph"/>
        <w:spacing w:line="360" w:lineRule="auto"/>
        <w:ind w:left="1418" w:hanging="567"/>
        <w:jc w:val="both"/>
        <w:rPr>
          <w:rFonts w:ascii="Bookman Old Style" w:hAnsi="Bookman Old Style"/>
          <w:i/>
          <w:lang w:val="en-US"/>
        </w:rPr>
      </w:pPr>
    </w:p>
    <w:p w14:paraId="22C1402B" w14:textId="77777777" w:rsidR="002633FC" w:rsidRPr="008B72D1" w:rsidRDefault="002633FC" w:rsidP="0007214C">
      <w:pPr>
        <w:pStyle w:val="ListParagraph"/>
        <w:numPr>
          <w:ilvl w:val="0"/>
          <w:numId w:val="10"/>
        </w:numPr>
        <w:spacing w:line="360" w:lineRule="auto"/>
        <w:ind w:left="1418" w:hanging="567"/>
        <w:jc w:val="both"/>
        <w:rPr>
          <w:rFonts w:ascii="Bookman Old Style" w:hAnsi="Bookman Old Style"/>
          <w:i/>
          <w:lang w:val="en-US"/>
        </w:rPr>
      </w:pPr>
      <w:r>
        <w:rPr>
          <w:rFonts w:ascii="Bookman Old Style" w:hAnsi="Bookman Old Style"/>
          <w:i/>
          <w:lang w:val="en-US"/>
        </w:rPr>
        <w:t>After the first meeting of creditors and the appointment of a trustee, the Master shall appoint a second meeting of trustees for the proof of claims against the estate, and for the purpose of receiving the trustee’s report on the affairs and condition of the estate, and giving the trustee directions in connection with the administration of the estate. The trustee shall convene such meeting in the manner prescribed in subsections (1) and (2).</w:t>
      </w:r>
    </w:p>
    <w:p w14:paraId="6AC76385" w14:textId="77777777" w:rsidR="002633FC" w:rsidRDefault="002633FC" w:rsidP="00A93EBB">
      <w:pPr>
        <w:spacing w:line="360" w:lineRule="auto"/>
        <w:ind w:left="1418" w:hanging="425"/>
        <w:jc w:val="both"/>
        <w:rPr>
          <w:rFonts w:ascii="Bookman Old Style" w:hAnsi="Bookman Old Style"/>
          <w:sz w:val="28"/>
          <w:szCs w:val="28"/>
          <w:lang w:val="en-US"/>
        </w:rPr>
      </w:pPr>
    </w:p>
    <w:p w14:paraId="7E41E477" w14:textId="77777777" w:rsidR="002633FC" w:rsidRDefault="00687A79" w:rsidP="000D1B85">
      <w:pPr>
        <w:numPr>
          <w:ilvl w:val="0"/>
          <w:numId w:val="14"/>
        </w:numPr>
        <w:tabs>
          <w:tab w:val="left" w:pos="851"/>
        </w:tabs>
        <w:spacing w:line="360" w:lineRule="auto"/>
        <w:ind w:left="0" w:hanging="11"/>
        <w:contextualSpacing/>
        <w:jc w:val="both"/>
        <w:rPr>
          <w:rFonts w:ascii="Bookman Old Style" w:hAnsi="Bookman Old Style"/>
          <w:sz w:val="28"/>
          <w:szCs w:val="28"/>
          <w:lang w:val="en-US"/>
        </w:rPr>
      </w:pPr>
      <w:r w:rsidRPr="002633FC">
        <w:rPr>
          <w:rFonts w:ascii="Bookman Old Style" w:hAnsi="Bookman Old Style"/>
          <w:sz w:val="28"/>
          <w:szCs w:val="28"/>
          <w:lang w:val="en-US"/>
        </w:rPr>
        <w:t xml:space="preserve">I am therefore satisfied that </w:t>
      </w:r>
      <w:proofErr w:type="spellStart"/>
      <w:r w:rsidRPr="002633FC">
        <w:rPr>
          <w:rFonts w:ascii="Bookman Old Style" w:hAnsi="Bookman Old Style"/>
          <w:sz w:val="28"/>
          <w:szCs w:val="28"/>
          <w:lang w:val="en-US"/>
        </w:rPr>
        <w:t>Molote</w:t>
      </w:r>
      <w:proofErr w:type="spellEnd"/>
      <w:r w:rsidRPr="002633FC">
        <w:rPr>
          <w:rFonts w:ascii="Bookman Old Style" w:hAnsi="Bookman Old Style"/>
          <w:sz w:val="28"/>
          <w:szCs w:val="28"/>
          <w:lang w:val="en-US"/>
        </w:rPr>
        <w:t xml:space="preserve"> J was correct when he concluded </w:t>
      </w:r>
      <w:r w:rsidR="0052439A" w:rsidRPr="002633FC">
        <w:rPr>
          <w:rFonts w:ascii="Bookman Old Style" w:hAnsi="Bookman Old Style"/>
          <w:sz w:val="28"/>
          <w:szCs w:val="28"/>
          <w:lang w:val="en-US"/>
        </w:rPr>
        <w:t xml:space="preserve">at para [18] of his judgement </w:t>
      </w:r>
      <w:r w:rsidR="00AF5D33" w:rsidRPr="002633FC">
        <w:rPr>
          <w:rFonts w:ascii="Bookman Old Style" w:hAnsi="Bookman Old Style"/>
          <w:sz w:val="28"/>
          <w:szCs w:val="28"/>
          <w:lang w:val="en-US"/>
        </w:rPr>
        <w:t>that:</w:t>
      </w:r>
    </w:p>
    <w:p w14:paraId="40E6B2E0" w14:textId="77777777" w:rsidR="002633FC" w:rsidRDefault="002633FC" w:rsidP="002633FC">
      <w:pPr>
        <w:tabs>
          <w:tab w:val="left" w:pos="851"/>
        </w:tabs>
        <w:spacing w:line="360" w:lineRule="auto"/>
        <w:contextualSpacing/>
        <w:jc w:val="both"/>
        <w:rPr>
          <w:rFonts w:ascii="Bookman Old Style" w:hAnsi="Bookman Old Style"/>
          <w:sz w:val="28"/>
          <w:szCs w:val="28"/>
          <w:lang w:val="en-US"/>
        </w:rPr>
      </w:pPr>
    </w:p>
    <w:p w14:paraId="6D6908C6" w14:textId="77777777" w:rsidR="002633FC" w:rsidRPr="00285DF8" w:rsidRDefault="00A93EBB" w:rsidP="00A93EBB">
      <w:pPr>
        <w:spacing w:line="360" w:lineRule="auto"/>
        <w:ind w:left="851"/>
        <w:jc w:val="both"/>
        <w:rPr>
          <w:rFonts w:ascii="Bookman Old Style" w:hAnsi="Bookman Old Style"/>
          <w:i/>
          <w:iCs/>
          <w:lang w:val="en-US"/>
        </w:rPr>
      </w:pPr>
      <w:r>
        <w:rPr>
          <w:rFonts w:ascii="Bookman Old Style" w:hAnsi="Bookman Old Style"/>
          <w:i/>
          <w:iCs/>
          <w:lang w:val="en-US"/>
        </w:rPr>
        <w:t>‘</w:t>
      </w:r>
      <w:r w:rsidR="002633FC" w:rsidRPr="00285DF8">
        <w:rPr>
          <w:rFonts w:ascii="Bookman Old Style" w:hAnsi="Bookman Old Style"/>
          <w:i/>
          <w:iCs/>
          <w:lang w:val="en-US"/>
        </w:rPr>
        <w:t xml:space="preserve">Where the Master ‘’appoints’’ or ‘’nominates’’ a liquidator, that does not preclude the general body of creditors from exercising their right to ‘’elect’’ a Liquidator. It therefore becomes inconsequential </w:t>
      </w:r>
      <w:proofErr w:type="gramStart"/>
      <w:r w:rsidR="002633FC" w:rsidRPr="00285DF8">
        <w:rPr>
          <w:rFonts w:ascii="Bookman Old Style" w:hAnsi="Bookman Old Style"/>
          <w:i/>
          <w:iCs/>
          <w:lang w:val="en-US"/>
        </w:rPr>
        <w:t>whether or not</w:t>
      </w:r>
      <w:proofErr w:type="gramEnd"/>
      <w:r w:rsidR="002633FC" w:rsidRPr="00285DF8">
        <w:rPr>
          <w:rFonts w:ascii="Bookman Old Style" w:hAnsi="Bookman Old Style"/>
          <w:i/>
          <w:iCs/>
          <w:lang w:val="en-US"/>
        </w:rPr>
        <w:t xml:space="preserve"> the word ‘’provisional liquidator’’ is found in the Companies Act 2011. In practice, at the first meeting, the </w:t>
      </w:r>
      <w:proofErr w:type="gramStart"/>
      <w:r w:rsidR="002633FC" w:rsidRPr="00285DF8">
        <w:rPr>
          <w:rFonts w:ascii="Bookman Old Style" w:hAnsi="Bookman Old Style"/>
          <w:i/>
          <w:iCs/>
          <w:lang w:val="en-US"/>
        </w:rPr>
        <w:t>Master’s</w:t>
      </w:r>
      <w:proofErr w:type="gramEnd"/>
      <w:r w:rsidR="002633FC" w:rsidRPr="00285DF8">
        <w:rPr>
          <w:rFonts w:ascii="Bookman Old Style" w:hAnsi="Bookman Old Style"/>
          <w:i/>
          <w:iCs/>
          <w:lang w:val="en-US"/>
        </w:rPr>
        <w:t xml:space="preserve"> appointment is usually confirmed, but legally the meeting is not obliged to do so and it is not precluded from confirming the master’s or electing a different Liquidator. In any event, the Master is required to take account of the requisitions and wishes of creditors in making the initial appointment in terms of the Act.’</w:t>
      </w:r>
    </w:p>
    <w:p w14:paraId="7182861E" w14:textId="77777777" w:rsidR="002633FC" w:rsidRDefault="002633FC" w:rsidP="002633FC">
      <w:pPr>
        <w:tabs>
          <w:tab w:val="left" w:pos="851"/>
        </w:tabs>
        <w:spacing w:line="360" w:lineRule="auto"/>
        <w:contextualSpacing/>
        <w:jc w:val="both"/>
        <w:rPr>
          <w:rFonts w:ascii="Bookman Old Style" w:hAnsi="Bookman Old Style"/>
          <w:sz w:val="28"/>
          <w:szCs w:val="28"/>
          <w:lang w:val="en-US"/>
        </w:rPr>
      </w:pPr>
    </w:p>
    <w:p w14:paraId="37602635" w14:textId="77777777" w:rsidR="00AA7E61" w:rsidRDefault="00687A79" w:rsidP="00687A79">
      <w:pPr>
        <w:numPr>
          <w:ilvl w:val="0"/>
          <w:numId w:val="14"/>
        </w:numPr>
        <w:tabs>
          <w:tab w:val="left" w:pos="851"/>
        </w:tabs>
        <w:spacing w:line="360" w:lineRule="auto"/>
        <w:ind w:left="0" w:hanging="11"/>
        <w:contextualSpacing/>
        <w:jc w:val="both"/>
        <w:rPr>
          <w:rFonts w:ascii="Bookman Old Style" w:hAnsi="Bookman Old Style"/>
          <w:sz w:val="28"/>
          <w:szCs w:val="28"/>
          <w:lang w:val="en-US"/>
        </w:rPr>
      </w:pPr>
      <w:r w:rsidRPr="002633FC">
        <w:rPr>
          <w:rFonts w:ascii="Bookman Old Style" w:hAnsi="Bookman Old Style"/>
          <w:sz w:val="28"/>
          <w:szCs w:val="28"/>
          <w:lang w:val="en-US"/>
        </w:rPr>
        <w:t>This conclusion also disposes of appeal ground (a).</w:t>
      </w:r>
      <w:r w:rsidR="00285DF8" w:rsidRPr="002633FC">
        <w:rPr>
          <w:rFonts w:ascii="Bookman Old Style" w:hAnsi="Bookman Old Style"/>
          <w:sz w:val="28"/>
          <w:szCs w:val="28"/>
          <w:lang w:val="en-US"/>
        </w:rPr>
        <w:t xml:space="preserve"> </w:t>
      </w:r>
    </w:p>
    <w:p w14:paraId="7EA69C16" w14:textId="77777777" w:rsidR="00AA7E61" w:rsidRDefault="00AA7E61" w:rsidP="00AA7E61">
      <w:pPr>
        <w:tabs>
          <w:tab w:val="left" w:pos="851"/>
        </w:tabs>
        <w:spacing w:line="360" w:lineRule="auto"/>
        <w:contextualSpacing/>
        <w:jc w:val="both"/>
        <w:rPr>
          <w:rFonts w:ascii="Bookman Old Style" w:hAnsi="Bookman Old Style"/>
          <w:sz w:val="28"/>
          <w:szCs w:val="28"/>
          <w:lang w:val="en-US"/>
        </w:rPr>
      </w:pPr>
    </w:p>
    <w:p w14:paraId="58BEFA37" w14:textId="46395085" w:rsidR="00AA7E61" w:rsidRDefault="00291ED9" w:rsidP="00687A79">
      <w:pPr>
        <w:numPr>
          <w:ilvl w:val="0"/>
          <w:numId w:val="14"/>
        </w:numPr>
        <w:tabs>
          <w:tab w:val="left" w:pos="851"/>
        </w:tabs>
        <w:spacing w:line="360" w:lineRule="auto"/>
        <w:ind w:left="0" w:hanging="11"/>
        <w:contextualSpacing/>
        <w:jc w:val="both"/>
        <w:rPr>
          <w:rFonts w:ascii="Bookman Old Style" w:hAnsi="Bookman Old Style"/>
          <w:sz w:val="28"/>
          <w:szCs w:val="28"/>
          <w:lang w:val="en-US"/>
        </w:rPr>
      </w:pPr>
      <w:r w:rsidRPr="00AA7E61">
        <w:rPr>
          <w:rFonts w:ascii="Bookman Old Style" w:hAnsi="Bookman Old Style"/>
          <w:sz w:val="28"/>
          <w:szCs w:val="28"/>
          <w:lang w:val="en-US"/>
        </w:rPr>
        <w:t>As for</w:t>
      </w:r>
      <w:r w:rsidR="00FE1812">
        <w:rPr>
          <w:rFonts w:ascii="Bookman Old Style" w:hAnsi="Bookman Old Style"/>
          <w:sz w:val="28"/>
          <w:szCs w:val="28"/>
          <w:lang w:val="en-US"/>
        </w:rPr>
        <w:t xml:space="preserve"> appeal ground (b), asking the C</w:t>
      </w:r>
      <w:r w:rsidRPr="00AA7E61">
        <w:rPr>
          <w:rFonts w:ascii="Bookman Old Style" w:hAnsi="Bookman Old Style"/>
          <w:sz w:val="28"/>
          <w:szCs w:val="28"/>
          <w:lang w:val="en-US"/>
        </w:rPr>
        <w:t xml:space="preserve">ourt to declare that the exercise of the </w:t>
      </w:r>
      <w:proofErr w:type="gramStart"/>
      <w:r w:rsidRPr="00AA7E61">
        <w:rPr>
          <w:rFonts w:ascii="Bookman Old Style" w:hAnsi="Bookman Old Style"/>
          <w:sz w:val="28"/>
          <w:szCs w:val="28"/>
          <w:lang w:val="en-US"/>
        </w:rPr>
        <w:t>Master’s</w:t>
      </w:r>
      <w:proofErr w:type="gramEnd"/>
      <w:r w:rsidRPr="00AA7E61">
        <w:rPr>
          <w:rFonts w:ascii="Bookman Old Style" w:hAnsi="Bookman Old Style"/>
          <w:sz w:val="28"/>
          <w:szCs w:val="28"/>
          <w:lang w:val="en-US"/>
        </w:rPr>
        <w:t xml:space="preserve"> power to appoint a</w:t>
      </w:r>
      <w:r w:rsidR="00687A79" w:rsidRPr="00AA7E61">
        <w:rPr>
          <w:rFonts w:ascii="Bookman Old Style" w:hAnsi="Bookman Old Style"/>
          <w:sz w:val="28"/>
          <w:szCs w:val="28"/>
          <w:lang w:val="en-US"/>
        </w:rPr>
        <w:t xml:space="preserve">dditional liquidators </w:t>
      </w:r>
      <w:r w:rsidRPr="00AA7E61">
        <w:rPr>
          <w:rFonts w:ascii="Bookman Old Style" w:hAnsi="Bookman Old Style"/>
          <w:sz w:val="28"/>
          <w:szCs w:val="28"/>
          <w:lang w:val="en-US"/>
        </w:rPr>
        <w:t>is reviewable by the High Court is entirely unnecessary because such a power is inherent in the jurisdiction of the High Court.</w:t>
      </w:r>
      <w:r w:rsidR="00FE74C4" w:rsidRPr="00AA7E61">
        <w:rPr>
          <w:rFonts w:ascii="Bookman Old Style" w:hAnsi="Bookman Old Style"/>
          <w:sz w:val="28"/>
          <w:szCs w:val="28"/>
          <w:lang w:val="en-US"/>
        </w:rPr>
        <w:t xml:space="preserve"> Similarly, it was utterly otiose to ask the High Court to declare an obvious thing such as that the Master may appoint additional liquidators if the need arises. I find it unnecessary for this court to make any order in that respect</w:t>
      </w:r>
      <w:r w:rsidR="008356D1">
        <w:rPr>
          <w:rFonts w:ascii="Bookman Old Style" w:hAnsi="Bookman Old Style"/>
          <w:sz w:val="28"/>
          <w:szCs w:val="28"/>
          <w:lang w:val="en-US"/>
        </w:rPr>
        <w:t xml:space="preserve"> in the appeal</w:t>
      </w:r>
      <w:r w:rsidR="00FE74C4" w:rsidRPr="00AA7E61">
        <w:rPr>
          <w:rFonts w:ascii="Bookman Old Style" w:hAnsi="Bookman Old Style"/>
          <w:sz w:val="28"/>
          <w:szCs w:val="28"/>
          <w:lang w:val="en-US"/>
        </w:rPr>
        <w:t>. In any event, if one has regard to the rulings of the Master which were being impugned (</w:t>
      </w:r>
      <w:r w:rsidR="00FE74C4" w:rsidRPr="00AA7E61">
        <w:rPr>
          <w:rFonts w:ascii="Bookman Old Style" w:hAnsi="Bookman Old Style"/>
          <w:i/>
          <w:iCs/>
          <w:sz w:val="28"/>
          <w:szCs w:val="28"/>
          <w:lang w:val="en-US"/>
        </w:rPr>
        <w:t>vide</w:t>
      </w:r>
      <w:r w:rsidR="00FE74C4" w:rsidRPr="00AA7E61">
        <w:rPr>
          <w:rFonts w:ascii="Bookman Old Style" w:hAnsi="Bookman Old Style"/>
          <w:sz w:val="28"/>
          <w:szCs w:val="28"/>
          <w:lang w:val="en-US"/>
        </w:rPr>
        <w:t xml:space="preserve"> Record, p 7</w:t>
      </w:r>
      <w:r w:rsidR="00FE1812">
        <w:rPr>
          <w:rFonts w:ascii="Bookman Old Style" w:hAnsi="Bookman Old Style"/>
          <w:sz w:val="28"/>
          <w:szCs w:val="28"/>
          <w:lang w:val="en-US"/>
        </w:rPr>
        <w:t xml:space="preserve"> </w:t>
      </w:r>
      <w:r w:rsidR="00FE1812" w:rsidRPr="005F4DCF">
        <w:rPr>
          <w:rFonts w:ascii="Bookman Old Style" w:hAnsi="Bookman Old Style"/>
          <w:sz w:val="28"/>
          <w:szCs w:val="28"/>
          <w:lang w:val="en-US"/>
        </w:rPr>
        <w:t>and quoted in para</w:t>
      </w:r>
      <w:r w:rsidR="005F4DCF" w:rsidRPr="005F4DCF">
        <w:rPr>
          <w:rFonts w:ascii="Bookman Old Style" w:hAnsi="Bookman Old Style"/>
          <w:sz w:val="28"/>
          <w:szCs w:val="28"/>
          <w:lang w:val="en-US"/>
        </w:rPr>
        <w:t xml:space="preserve"> [4</w:t>
      </w:r>
      <w:r w:rsidR="008356D1">
        <w:rPr>
          <w:rFonts w:ascii="Bookman Old Style" w:hAnsi="Bookman Old Style"/>
          <w:sz w:val="28"/>
          <w:szCs w:val="28"/>
          <w:lang w:val="en-US"/>
        </w:rPr>
        <w:t>] of this judgement</w:t>
      </w:r>
      <w:r w:rsidR="00FE74C4" w:rsidRPr="005F4DCF">
        <w:rPr>
          <w:rFonts w:ascii="Bookman Old Style" w:hAnsi="Bookman Old Style"/>
          <w:sz w:val="28"/>
          <w:szCs w:val="28"/>
          <w:lang w:val="en-US"/>
        </w:rPr>
        <w:t>)</w:t>
      </w:r>
      <w:r w:rsidR="00FE74C4" w:rsidRPr="00AA7E61">
        <w:rPr>
          <w:rFonts w:ascii="Bookman Old Style" w:hAnsi="Bookman Old Style"/>
          <w:sz w:val="28"/>
          <w:szCs w:val="28"/>
          <w:lang w:val="en-US"/>
        </w:rPr>
        <w:t xml:space="preserve"> one does not find anything there by way of </w:t>
      </w:r>
      <w:r w:rsidR="00421759" w:rsidRPr="00AA7E61">
        <w:rPr>
          <w:rFonts w:ascii="Bookman Old Style" w:hAnsi="Bookman Old Style"/>
          <w:sz w:val="28"/>
          <w:szCs w:val="28"/>
          <w:lang w:val="en-US"/>
        </w:rPr>
        <w:t xml:space="preserve">the Master’s </w:t>
      </w:r>
      <w:r w:rsidR="00FE74C4" w:rsidRPr="00AA7E61">
        <w:rPr>
          <w:rFonts w:ascii="Bookman Old Style" w:hAnsi="Bookman Old Style"/>
          <w:sz w:val="28"/>
          <w:szCs w:val="28"/>
          <w:lang w:val="en-US"/>
        </w:rPr>
        <w:t>ruling which suggest</w:t>
      </w:r>
      <w:r w:rsidR="00421759" w:rsidRPr="00AA7E61">
        <w:rPr>
          <w:rFonts w:ascii="Bookman Old Style" w:hAnsi="Bookman Old Style"/>
          <w:sz w:val="28"/>
          <w:szCs w:val="28"/>
          <w:lang w:val="en-US"/>
        </w:rPr>
        <w:t>s</w:t>
      </w:r>
      <w:r w:rsidR="00FE74C4" w:rsidRPr="00AA7E61">
        <w:rPr>
          <w:rFonts w:ascii="Bookman Old Style" w:hAnsi="Bookman Old Style"/>
          <w:sz w:val="28"/>
          <w:szCs w:val="28"/>
          <w:lang w:val="en-US"/>
        </w:rPr>
        <w:t xml:space="preserve"> that the Master took a view contrary to what is sought by way of a declarator. </w:t>
      </w:r>
    </w:p>
    <w:p w14:paraId="3192047F" w14:textId="77777777" w:rsidR="00AA7E61" w:rsidRDefault="00AA7E61" w:rsidP="00AA7E61">
      <w:pPr>
        <w:pStyle w:val="ListParagraph"/>
        <w:rPr>
          <w:rFonts w:ascii="Bookman Old Style" w:hAnsi="Bookman Old Style"/>
          <w:sz w:val="28"/>
          <w:szCs w:val="28"/>
          <w:lang w:val="en-US"/>
        </w:rPr>
      </w:pPr>
    </w:p>
    <w:p w14:paraId="49C340EC" w14:textId="77777777" w:rsidR="00AA7E61" w:rsidRDefault="00D24172" w:rsidP="00687A79">
      <w:pPr>
        <w:numPr>
          <w:ilvl w:val="0"/>
          <w:numId w:val="14"/>
        </w:numPr>
        <w:tabs>
          <w:tab w:val="left" w:pos="851"/>
        </w:tabs>
        <w:spacing w:line="360" w:lineRule="auto"/>
        <w:ind w:left="0" w:hanging="11"/>
        <w:contextualSpacing/>
        <w:jc w:val="both"/>
        <w:rPr>
          <w:rFonts w:ascii="Bookman Old Style" w:hAnsi="Bookman Old Style"/>
          <w:sz w:val="28"/>
          <w:szCs w:val="28"/>
          <w:lang w:val="en-US"/>
        </w:rPr>
      </w:pPr>
      <w:r w:rsidRPr="00AA7E61">
        <w:rPr>
          <w:rFonts w:ascii="Bookman Old Style" w:hAnsi="Bookman Old Style"/>
          <w:sz w:val="28"/>
          <w:szCs w:val="28"/>
          <w:lang w:val="en-US"/>
        </w:rPr>
        <w:t>Since I am</w:t>
      </w:r>
      <w:r w:rsidR="00291ED9" w:rsidRPr="00AA7E61">
        <w:rPr>
          <w:rFonts w:ascii="Bookman Old Style" w:hAnsi="Bookman Old Style"/>
          <w:sz w:val="28"/>
          <w:szCs w:val="28"/>
          <w:lang w:val="en-US"/>
        </w:rPr>
        <w:t xml:space="preserve"> satisfied that it has not been demonstrated that the High Court misdirected itself in the respects alleged by the </w:t>
      </w:r>
      <w:r w:rsidR="00FE74C4" w:rsidRPr="00AA7E61">
        <w:rPr>
          <w:rFonts w:ascii="Bookman Old Style" w:hAnsi="Bookman Old Style"/>
          <w:sz w:val="28"/>
          <w:szCs w:val="28"/>
          <w:lang w:val="en-US"/>
        </w:rPr>
        <w:t>L</w:t>
      </w:r>
      <w:r w:rsidR="00291ED9" w:rsidRPr="00AA7E61">
        <w:rPr>
          <w:rFonts w:ascii="Bookman Old Style" w:hAnsi="Bookman Old Style"/>
          <w:sz w:val="28"/>
          <w:szCs w:val="28"/>
          <w:lang w:val="en-US"/>
        </w:rPr>
        <w:t xml:space="preserve">iquidators, the appeal </w:t>
      </w:r>
      <w:r w:rsidR="0025230A" w:rsidRPr="00AA7E61">
        <w:rPr>
          <w:rFonts w:ascii="Bookman Old Style" w:hAnsi="Bookman Old Style"/>
          <w:sz w:val="28"/>
          <w:szCs w:val="28"/>
          <w:lang w:val="en-US"/>
        </w:rPr>
        <w:t>must fail</w:t>
      </w:r>
      <w:r w:rsidR="00291ED9" w:rsidRPr="00AA7E61">
        <w:rPr>
          <w:rFonts w:ascii="Bookman Old Style" w:hAnsi="Bookman Old Style"/>
          <w:sz w:val="28"/>
          <w:szCs w:val="28"/>
          <w:lang w:val="en-US"/>
        </w:rPr>
        <w:t xml:space="preserve">. </w:t>
      </w:r>
    </w:p>
    <w:p w14:paraId="629E6DD5" w14:textId="77777777" w:rsidR="00AA7E61" w:rsidRDefault="00AA7E61" w:rsidP="00AA7E61">
      <w:pPr>
        <w:pStyle w:val="ListParagraph"/>
        <w:rPr>
          <w:rFonts w:ascii="Bookman Old Style" w:hAnsi="Bookman Old Style"/>
          <w:sz w:val="28"/>
          <w:szCs w:val="28"/>
          <w:u w:val="single"/>
          <w:lang w:val="en-US"/>
        </w:rPr>
      </w:pPr>
    </w:p>
    <w:p w14:paraId="72E864E2" w14:textId="77777777" w:rsidR="00AA7E61" w:rsidRDefault="00FE74C4" w:rsidP="00AA7E61">
      <w:pPr>
        <w:tabs>
          <w:tab w:val="left" w:pos="851"/>
        </w:tabs>
        <w:spacing w:line="360" w:lineRule="auto"/>
        <w:contextualSpacing/>
        <w:jc w:val="both"/>
        <w:rPr>
          <w:rFonts w:ascii="Bookman Old Style" w:hAnsi="Bookman Old Style"/>
          <w:sz w:val="28"/>
          <w:szCs w:val="28"/>
          <w:lang w:val="en-US"/>
        </w:rPr>
      </w:pPr>
      <w:r w:rsidRPr="00AA7E61">
        <w:rPr>
          <w:rFonts w:ascii="Bookman Old Style" w:hAnsi="Bookman Old Style"/>
          <w:sz w:val="28"/>
          <w:szCs w:val="28"/>
          <w:u w:val="single"/>
          <w:lang w:val="en-US"/>
        </w:rPr>
        <w:t>Costs</w:t>
      </w:r>
    </w:p>
    <w:p w14:paraId="58733081" w14:textId="77777777" w:rsidR="00AA7E61" w:rsidRDefault="00291ED9" w:rsidP="00687A79">
      <w:pPr>
        <w:numPr>
          <w:ilvl w:val="0"/>
          <w:numId w:val="14"/>
        </w:numPr>
        <w:tabs>
          <w:tab w:val="left" w:pos="851"/>
        </w:tabs>
        <w:spacing w:line="360" w:lineRule="auto"/>
        <w:ind w:left="0" w:hanging="11"/>
        <w:contextualSpacing/>
        <w:jc w:val="both"/>
        <w:rPr>
          <w:rFonts w:ascii="Bookman Old Style" w:hAnsi="Bookman Old Style"/>
          <w:sz w:val="28"/>
          <w:szCs w:val="28"/>
          <w:lang w:val="en-US"/>
        </w:rPr>
      </w:pPr>
      <w:r w:rsidRPr="00AA7E61">
        <w:rPr>
          <w:rFonts w:ascii="Bookman Old Style" w:hAnsi="Bookman Old Style"/>
          <w:sz w:val="28"/>
          <w:szCs w:val="28"/>
          <w:lang w:val="en-US"/>
        </w:rPr>
        <w:t xml:space="preserve">The Banks have conducted themselves in the most reprehensible manner in the manner that they pursued their cross-appeal and their conduct deserves censure. Besides, ordering the </w:t>
      </w:r>
      <w:r w:rsidR="00FE74C4" w:rsidRPr="00AA7E61">
        <w:rPr>
          <w:rFonts w:ascii="Bookman Old Style" w:hAnsi="Bookman Old Style"/>
          <w:sz w:val="28"/>
          <w:szCs w:val="28"/>
          <w:lang w:val="en-US"/>
        </w:rPr>
        <w:t>L</w:t>
      </w:r>
      <w:r w:rsidRPr="00AA7E61">
        <w:rPr>
          <w:rFonts w:ascii="Bookman Old Style" w:hAnsi="Bookman Old Style"/>
          <w:sz w:val="28"/>
          <w:szCs w:val="28"/>
          <w:lang w:val="en-US"/>
        </w:rPr>
        <w:t>iquidators to pay the costs of the appeal serves no purpose and it is more appropriate that costs be in the liquidation.</w:t>
      </w:r>
      <w:r w:rsidR="00FE74C4" w:rsidRPr="00AA7E61">
        <w:rPr>
          <w:rFonts w:ascii="Bookman Old Style" w:hAnsi="Bookman Old Style"/>
          <w:sz w:val="28"/>
          <w:szCs w:val="28"/>
          <w:lang w:val="en-US"/>
        </w:rPr>
        <w:t xml:space="preserve"> The costs relating to the ill-fated cross-appeal is a different matter. It will be unjust for the estate to bear the costs of the Banks’ lack </w:t>
      </w:r>
      <w:r w:rsidR="00FE74C4" w:rsidRPr="00AA7E61">
        <w:rPr>
          <w:rFonts w:ascii="Bookman Old Style" w:hAnsi="Bookman Old Style"/>
          <w:sz w:val="28"/>
          <w:szCs w:val="28"/>
          <w:lang w:val="en-US"/>
        </w:rPr>
        <w:lastRenderedPageBreak/>
        <w:t xml:space="preserve">of diligence. The costs of the struck cross-appeal must </w:t>
      </w:r>
      <w:r w:rsidR="00421759" w:rsidRPr="00AA7E61">
        <w:rPr>
          <w:rFonts w:ascii="Bookman Old Style" w:hAnsi="Bookman Old Style"/>
          <w:sz w:val="28"/>
          <w:szCs w:val="28"/>
          <w:lang w:val="en-US"/>
        </w:rPr>
        <w:t xml:space="preserve">therefore </w:t>
      </w:r>
      <w:r w:rsidR="00FE74C4" w:rsidRPr="00AA7E61">
        <w:rPr>
          <w:rFonts w:ascii="Bookman Old Style" w:hAnsi="Bookman Old Style"/>
          <w:sz w:val="28"/>
          <w:szCs w:val="28"/>
          <w:lang w:val="en-US"/>
        </w:rPr>
        <w:t>be borne by the Banks.</w:t>
      </w:r>
    </w:p>
    <w:p w14:paraId="5618AF2F" w14:textId="77777777" w:rsidR="00AA7E61" w:rsidRDefault="00AA7E61" w:rsidP="00AA7E61">
      <w:pPr>
        <w:tabs>
          <w:tab w:val="left" w:pos="851"/>
        </w:tabs>
        <w:spacing w:line="360" w:lineRule="auto"/>
        <w:contextualSpacing/>
        <w:jc w:val="both"/>
        <w:rPr>
          <w:rFonts w:ascii="Bookman Old Style" w:hAnsi="Bookman Old Style"/>
          <w:sz w:val="28"/>
          <w:szCs w:val="28"/>
          <w:lang w:val="en-US"/>
        </w:rPr>
      </w:pPr>
    </w:p>
    <w:p w14:paraId="0C05949D" w14:textId="77777777" w:rsidR="00AA7E61" w:rsidRDefault="00421759" w:rsidP="00AA7E61">
      <w:pPr>
        <w:tabs>
          <w:tab w:val="left" w:pos="851"/>
        </w:tabs>
        <w:spacing w:line="360" w:lineRule="auto"/>
        <w:contextualSpacing/>
        <w:jc w:val="both"/>
        <w:rPr>
          <w:rFonts w:ascii="Bookman Old Style" w:hAnsi="Bookman Old Style"/>
          <w:sz w:val="28"/>
          <w:szCs w:val="28"/>
          <w:lang w:val="en-US"/>
        </w:rPr>
      </w:pPr>
      <w:r w:rsidRPr="00AA7E61">
        <w:rPr>
          <w:rFonts w:ascii="Bookman Old Style" w:hAnsi="Bookman Old Style"/>
          <w:sz w:val="28"/>
          <w:szCs w:val="28"/>
          <w:u w:val="single"/>
          <w:lang w:val="en-US"/>
        </w:rPr>
        <w:t>The order</w:t>
      </w:r>
    </w:p>
    <w:p w14:paraId="4D230C26" w14:textId="77777777" w:rsidR="00FE74C4" w:rsidRDefault="00291ED9" w:rsidP="00687A79">
      <w:pPr>
        <w:numPr>
          <w:ilvl w:val="0"/>
          <w:numId w:val="14"/>
        </w:numPr>
        <w:tabs>
          <w:tab w:val="left" w:pos="851"/>
        </w:tabs>
        <w:spacing w:line="360" w:lineRule="auto"/>
        <w:ind w:left="0" w:hanging="11"/>
        <w:contextualSpacing/>
        <w:jc w:val="both"/>
        <w:rPr>
          <w:rFonts w:ascii="Bookman Old Style" w:hAnsi="Bookman Old Style"/>
          <w:sz w:val="28"/>
          <w:szCs w:val="28"/>
          <w:lang w:val="en-US"/>
        </w:rPr>
      </w:pPr>
      <w:r w:rsidRPr="00AA7E61">
        <w:rPr>
          <w:rFonts w:ascii="Bookman Old Style" w:hAnsi="Bookman Old Style"/>
          <w:sz w:val="28"/>
          <w:szCs w:val="28"/>
          <w:lang w:val="en-US"/>
        </w:rPr>
        <w:t>In the result</w:t>
      </w:r>
      <w:r w:rsidR="00FE74C4" w:rsidRPr="00AA7E61">
        <w:rPr>
          <w:rFonts w:ascii="Bookman Old Style" w:hAnsi="Bookman Old Style"/>
          <w:sz w:val="28"/>
          <w:szCs w:val="28"/>
          <w:lang w:val="en-US"/>
        </w:rPr>
        <w:t>, I make the following orders:</w:t>
      </w:r>
    </w:p>
    <w:p w14:paraId="5495E1B9" w14:textId="77777777" w:rsidR="00645DE3" w:rsidRPr="00AA7E61" w:rsidRDefault="00645DE3" w:rsidP="00645DE3">
      <w:pPr>
        <w:tabs>
          <w:tab w:val="left" w:pos="851"/>
        </w:tabs>
        <w:spacing w:line="360" w:lineRule="auto"/>
        <w:contextualSpacing/>
        <w:jc w:val="both"/>
        <w:rPr>
          <w:rFonts w:ascii="Bookman Old Style" w:hAnsi="Bookman Old Style"/>
          <w:sz w:val="28"/>
          <w:szCs w:val="28"/>
          <w:lang w:val="en-US"/>
        </w:rPr>
      </w:pPr>
    </w:p>
    <w:p w14:paraId="150160D5" w14:textId="77777777" w:rsidR="00FE74C4" w:rsidRDefault="00FE74C4" w:rsidP="00633500">
      <w:pPr>
        <w:pStyle w:val="ListParagraph"/>
        <w:numPr>
          <w:ilvl w:val="0"/>
          <w:numId w:val="13"/>
        </w:numPr>
        <w:spacing w:line="360" w:lineRule="auto"/>
        <w:ind w:left="1418" w:hanging="567"/>
        <w:jc w:val="both"/>
        <w:rPr>
          <w:rFonts w:ascii="Bookman Old Style" w:hAnsi="Bookman Old Style"/>
          <w:sz w:val="28"/>
          <w:szCs w:val="28"/>
          <w:lang w:val="en-US"/>
        </w:rPr>
      </w:pPr>
      <w:r>
        <w:rPr>
          <w:rFonts w:ascii="Bookman Old Style" w:hAnsi="Bookman Old Style"/>
          <w:sz w:val="28"/>
          <w:szCs w:val="28"/>
          <w:lang w:val="en-US"/>
        </w:rPr>
        <w:t>T</w:t>
      </w:r>
      <w:r w:rsidR="0025230A" w:rsidRPr="00FE74C4">
        <w:rPr>
          <w:rFonts w:ascii="Bookman Old Style" w:hAnsi="Bookman Old Style"/>
          <w:sz w:val="28"/>
          <w:szCs w:val="28"/>
          <w:lang w:val="en-US"/>
        </w:rPr>
        <w:t xml:space="preserve">he appeal is dismissed and </w:t>
      </w:r>
      <w:r w:rsidR="00FE1812">
        <w:rPr>
          <w:rFonts w:ascii="Bookman Old Style" w:hAnsi="Bookman Old Style"/>
          <w:sz w:val="28"/>
          <w:szCs w:val="28"/>
          <w:lang w:val="en-US"/>
        </w:rPr>
        <w:t xml:space="preserve">the </w:t>
      </w:r>
      <w:r w:rsidR="0025230A" w:rsidRPr="00FE74C4">
        <w:rPr>
          <w:rFonts w:ascii="Bookman Old Style" w:hAnsi="Bookman Old Style"/>
          <w:sz w:val="28"/>
          <w:szCs w:val="28"/>
          <w:lang w:val="en-US"/>
        </w:rPr>
        <w:t>costs of both parties to be in the liquidation</w:t>
      </w:r>
      <w:r>
        <w:rPr>
          <w:rFonts w:ascii="Bookman Old Style" w:hAnsi="Bookman Old Style"/>
          <w:sz w:val="28"/>
          <w:szCs w:val="28"/>
          <w:lang w:val="en-US"/>
        </w:rPr>
        <w:t>;</w:t>
      </w:r>
    </w:p>
    <w:p w14:paraId="70EC910F" w14:textId="77777777" w:rsidR="00633500" w:rsidRDefault="00633500" w:rsidP="00633500">
      <w:pPr>
        <w:pStyle w:val="ListParagraph"/>
        <w:spacing w:line="360" w:lineRule="auto"/>
        <w:ind w:left="1418"/>
        <w:jc w:val="both"/>
        <w:rPr>
          <w:rFonts w:ascii="Bookman Old Style" w:hAnsi="Bookman Old Style"/>
          <w:sz w:val="28"/>
          <w:szCs w:val="28"/>
          <w:lang w:val="en-US"/>
        </w:rPr>
      </w:pPr>
    </w:p>
    <w:p w14:paraId="3E85E9CE" w14:textId="77777777" w:rsidR="00291ED9" w:rsidRPr="00FE74C4" w:rsidRDefault="00FE74C4" w:rsidP="00633500">
      <w:pPr>
        <w:pStyle w:val="ListParagraph"/>
        <w:numPr>
          <w:ilvl w:val="0"/>
          <w:numId w:val="13"/>
        </w:numPr>
        <w:spacing w:line="360" w:lineRule="auto"/>
        <w:ind w:left="1418" w:hanging="567"/>
        <w:jc w:val="both"/>
        <w:rPr>
          <w:rFonts w:ascii="Bookman Old Style" w:hAnsi="Bookman Old Style"/>
          <w:sz w:val="28"/>
          <w:szCs w:val="28"/>
          <w:lang w:val="en-US"/>
        </w:rPr>
      </w:pPr>
      <w:r>
        <w:rPr>
          <w:rFonts w:ascii="Bookman Old Style" w:hAnsi="Bookman Old Style"/>
          <w:sz w:val="28"/>
          <w:szCs w:val="28"/>
          <w:lang w:val="en-US"/>
        </w:rPr>
        <w:t>The cross-appeal is struck from the roll and the Banks shall bear the Liquidators’ costs consequent upon the employment of instructing and instructed counsel</w:t>
      </w:r>
      <w:r w:rsidR="00FE1812">
        <w:rPr>
          <w:rFonts w:ascii="Bookman Old Style" w:hAnsi="Bookman Old Style"/>
          <w:sz w:val="28"/>
          <w:szCs w:val="28"/>
          <w:lang w:val="en-US"/>
        </w:rPr>
        <w:t>,</w:t>
      </w:r>
      <w:r>
        <w:rPr>
          <w:rFonts w:ascii="Bookman Old Style" w:hAnsi="Bookman Old Style"/>
          <w:sz w:val="28"/>
          <w:szCs w:val="28"/>
          <w:lang w:val="en-US"/>
        </w:rPr>
        <w:t xml:space="preserve"> where engaged</w:t>
      </w:r>
      <w:r w:rsidR="0025230A" w:rsidRPr="00FE74C4">
        <w:rPr>
          <w:rFonts w:ascii="Bookman Old Style" w:hAnsi="Bookman Old Style"/>
          <w:sz w:val="28"/>
          <w:szCs w:val="28"/>
          <w:lang w:val="en-US"/>
        </w:rPr>
        <w:t>.</w:t>
      </w:r>
    </w:p>
    <w:p w14:paraId="2143A899" w14:textId="782041E7" w:rsidR="0007214C" w:rsidRDefault="00971D02" w:rsidP="00971D02">
      <w:pPr>
        <w:spacing w:line="360" w:lineRule="auto"/>
        <w:jc w:val="center"/>
        <w:rPr>
          <w:rFonts w:ascii="Bookman Old Style" w:hAnsi="Bookman Old Style"/>
          <w:sz w:val="28"/>
          <w:szCs w:val="28"/>
          <w:lang w:val="en-US"/>
        </w:rPr>
      </w:pPr>
      <w:r w:rsidRPr="00971D02">
        <w:rPr>
          <w:rFonts w:ascii="Bookman Old Style" w:hAnsi="Bookman Old Style"/>
          <w:noProof/>
          <w:sz w:val="28"/>
          <w:szCs w:val="28"/>
          <w:lang w:val="en-ZA" w:eastAsia="en-ZA"/>
        </w:rPr>
        <w:drawing>
          <wp:inline distT="0" distB="0" distL="0" distR="0" wp14:anchorId="7BEC0DF3" wp14:editId="5636E0DF">
            <wp:extent cx="990600" cy="676275"/>
            <wp:effectExtent l="0" t="0" r="0" b="9525"/>
            <wp:docPr id="1" name="Picture 1" descr="C:\Users\user\Pictures\electronic signature judge damas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electronic signature judge damas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676275"/>
                    </a:xfrm>
                    <a:prstGeom prst="rect">
                      <a:avLst/>
                    </a:prstGeom>
                    <a:noFill/>
                    <a:ln>
                      <a:noFill/>
                    </a:ln>
                  </pic:spPr>
                </pic:pic>
              </a:graphicData>
            </a:graphic>
          </wp:inline>
        </w:drawing>
      </w:r>
    </w:p>
    <w:p w14:paraId="3BA7AD7B" w14:textId="77777777" w:rsidR="0007214C" w:rsidRPr="00633AD2" w:rsidRDefault="0007214C" w:rsidP="0007214C">
      <w:pPr>
        <w:spacing w:line="360" w:lineRule="auto"/>
        <w:jc w:val="center"/>
        <w:rPr>
          <w:rFonts w:ascii="Bookman Old Style" w:hAnsi="Bookman Old Style"/>
          <w:b/>
          <w:sz w:val="28"/>
          <w:szCs w:val="28"/>
        </w:rPr>
      </w:pPr>
      <w:r w:rsidRPr="00633AD2">
        <w:rPr>
          <w:rFonts w:ascii="Bookman Old Style" w:hAnsi="Bookman Old Style"/>
          <w:b/>
          <w:sz w:val="28"/>
          <w:szCs w:val="28"/>
        </w:rPr>
        <w:t>______________________________</w:t>
      </w:r>
    </w:p>
    <w:p w14:paraId="2AB70E7E" w14:textId="77777777" w:rsidR="0007214C" w:rsidRPr="00633AD2" w:rsidRDefault="0007214C" w:rsidP="0007214C">
      <w:pPr>
        <w:spacing w:line="360" w:lineRule="auto"/>
        <w:jc w:val="center"/>
        <w:rPr>
          <w:rFonts w:ascii="Bookman Old Style" w:hAnsi="Bookman Old Style"/>
          <w:b/>
          <w:sz w:val="28"/>
          <w:szCs w:val="28"/>
        </w:rPr>
      </w:pPr>
      <w:r w:rsidRPr="00633AD2">
        <w:rPr>
          <w:rFonts w:ascii="Bookman Old Style" w:hAnsi="Bookman Old Style"/>
          <w:b/>
          <w:sz w:val="28"/>
          <w:szCs w:val="28"/>
        </w:rPr>
        <w:t>P.T. DAMASEB</w:t>
      </w:r>
    </w:p>
    <w:p w14:paraId="4BB3C433" w14:textId="77777777" w:rsidR="0007214C" w:rsidRPr="00633AD2" w:rsidRDefault="0007214C" w:rsidP="0007214C">
      <w:pPr>
        <w:spacing w:line="360" w:lineRule="auto"/>
        <w:jc w:val="center"/>
        <w:rPr>
          <w:rFonts w:ascii="Bookman Old Style" w:hAnsi="Bookman Old Style"/>
          <w:b/>
          <w:sz w:val="28"/>
          <w:szCs w:val="28"/>
        </w:rPr>
      </w:pPr>
      <w:r w:rsidRPr="00633AD2">
        <w:rPr>
          <w:rFonts w:ascii="Bookman Old Style" w:hAnsi="Bookman Old Style"/>
          <w:b/>
          <w:sz w:val="28"/>
          <w:szCs w:val="28"/>
        </w:rPr>
        <w:t>ACTING JUSTICE OF APPEAL</w:t>
      </w:r>
    </w:p>
    <w:p w14:paraId="4A7ABCDB" w14:textId="77777777" w:rsidR="0007214C" w:rsidRPr="00633AD2" w:rsidRDefault="0007214C" w:rsidP="0007214C">
      <w:pPr>
        <w:spacing w:line="360" w:lineRule="auto"/>
        <w:rPr>
          <w:rFonts w:ascii="Bookman Old Style" w:hAnsi="Bookman Old Style"/>
          <w:sz w:val="28"/>
          <w:szCs w:val="28"/>
        </w:rPr>
      </w:pPr>
      <w:r w:rsidRPr="00633AD2">
        <w:rPr>
          <w:rFonts w:ascii="Bookman Old Style" w:hAnsi="Bookman Old Style"/>
          <w:sz w:val="28"/>
          <w:szCs w:val="28"/>
        </w:rPr>
        <w:t>I agree:</w:t>
      </w:r>
      <w:r w:rsidRPr="00633AD2">
        <w:rPr>
          <w:rFonts w:ascii="Bookman Old Style" w:hAnsi="Bookman Old Style"/>
          <w:sz w:val="28"/>
          <w:szCs w:val="28"/>
        </w:rPr>
        <w:tab/>
      </w:r>
    </w:p>
    <w:p w14:paraId="61ABFFB7" w14:textId="34CCC752" w:rsidR="0007214C" w:rsidRPr="00633AD2" w:rsidRDefault="00971D02" w:rsidP="00971D02">
      <w:pPr>
        <w:spacing w:line="360" w:lineRule="auto"/>
        <w:jc w:val="center"/>
        <w:rPr>
          <w:rFonts w:ascii="Bookman Old Style" w:hAnsi="Bookman Old Style"/>
          <w:b/>
          <w:sz w:val="28"/>
          <w:szCs w:val="28"/>
        </w:rPr>
      </w:pPr>
      <w:r w:rsidRPr="00971D02">
        <w:rPr>
          <w:rFonts w:ascii="Bookman Old Style" w:hAnsi="Bookman Old Style"/>
          <w:b/>
          <w:noProof/>
          <w:sz w:val="28"/>
          <w:szCs w:val="28"/>
          <w:lang w:val="en-ZA" w:eastAsia="en-ZA"/>
        </w:rPr>
        <w:drawing>
          <wp:inline distT="0" distB="0" distL="0" distR="0" wp14:anchorId="7E3F5C30" wp14:editId="1777121F">
            <wp:extent cx="1924050" cy="552450"/>
            <wp:effectExtent l="0" t="0" r="0" b="0"/>
            <wp:docPr id="2" name="Picture 2" descr="C:\Users\user\Pictures\electronic signatu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electronic signatur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4050" cy="552450"/>
                    </a:xfrm>
                    <a:prstGeom prst="rect">
                      <a:avLst/>
                    </a:prstGeom>
                    <a:noFill/>
                    <a:ln>
                      <a:noFill/>
                    </a:ln>
                  </pic:spPr>
                </pic:pic>
              </a:graphicData>
            </a:graphic>
          </wp:inline>
        </w:drawing>
      </w:r>
    </w:p>
    <w:p w14:paraId="5F2203D2" w14:textId="77777777" w:rsidR="0007214C" w:rsidRPr="00633AD2" w:rsidRDefault="0007214C" w:rsidP="0007214C">
      <w:pPr>
        <w:spacing w:line="360" w:lineRule="auto"/>
        <w:jc w:val="center"/>
        <w:rPr>
          <w:rFonts w:ascii="Bookman Old Style" w:hAnsi="Bookman Old Style"/>
          <w:b/>
          <w:sz w:val="28"/>
          <w:szCs w:val="28"/>
        </w:rPr>
      </w:pPr>
      <w:r w:rsidRPr="00633AD2">
        <w:rPr>
          <w:rFonts w:ascii="Bookman Old Style" w:hAnsi="Bookman Old Style"/>
          <w:b/>
          <w:sz w:val="28"/>
          <w:szCs w:val="28"/>
        </w:rPr>
        <w:t>_____________________________</w:t>
      </w:r>
    </w:p>
    <w:p w14:paraId="36F9871A" w14:textId="77777777" w:rsidR="0007214C" w:rsidRPr="00633AD2" w:rsidRDefault="0007214C" w:rsidP="0007214C">
      <w:pPr>
        <w:spacing w:line="360" w:lineRule="auto"/>
        <w:jc w:val="center"/>
        <w:rPr>
          <w:rFonts w:ascii="Bookman Old Style" w:hAnsi="Bookman Old Style"/>
          <w:b/>
          <w:sz w:val="28"/>
          <w:szCs w:val="28"/>
        </w:rPr>
      </w:pPr>
      <w:r w:rsidRPr="00633AD2">
        <w:rPr>
          <w:rFonts w:ascii="Bookman Old Style" w:hAnsi="Bookman Old Style"/>
          <w:b/>
          <w:sz w:val="28"/>
          <w:szCs w:val="28"/>
        </w:rPr>
        <w:t>M. CHINHENGO</w:t>
      </w:r>
    </w:p>
    <w:p w14:paraId="1DC0B4EF" w14:textId="77777777" w:rsidR="0007214C" w:rsidRPr="00633AD2" w:rsidRDefault="0007214C" w:rsidP="0007214C">
      <w:pPr>
        <w:spacing w:line="360" w:lineRule="auto"/>
        <w:jc w:val="center"/>
        <w:rPr>
          <w:rFonts w:ascii="Bookman Old Style" w:hAnsi="Bookman Old Style"/>
          <w:b/>
          <w:sz w:val="28"/>
          <w:szCs w:val="28"/>
        </w:rPr>
      </w:pPr>
      <w:r w:rsidRPr="00633AD2">
        <w:rPr>
          <w:rFonts w:ascii="Bookman Old Style" w:hAnsi="Bookman Old Style"/>
          <w:b/>
          <w:sz w:val="28"/>
          <w:szCs w:val="28"/>
        </w:rPr>
        <w:t>ACTING JUSTICE OF APPEAL</w:t>
      </w:r>
    </w:p>
    <w:p w14:paraId="1C9E625B" w14:textId="77777777" w:rsidR="0007214C" w:rsidRDefault="0007214C" w:rsidP="0007214C">
      <w:pPr>
        <w:spacing w:line="360" w:lineRule="auto"/>
        <w:jc w:val="center"/>
        <w:rPr>
          <w:rFonts w:ascii="Bookman Old Style" w:hAnsi="Bookman Old Style"/>
          <w:b/>
          <w:sz w:val="28"/>
          <w:szCs w:val="28"/>
        </w:rPr>
      </w:pPr>
    </w:p>
    <w:p w14:paraId="1D89F21F" w14:textId="77777777" w:rsidR="00971D02" w:rsidRDefault="00971D02" w:rsidP="0007214C">
      <w:pPr>
        <w:spacing w:line="360" w:lineRule="auto"/>
        <w:jc w:val="center"/>
        <w:rPr>
          <w:rFonts w:ascii="Bookman Old Style" w:hAnsi="Bookman Old Style"/>
          <w:b/>
          <w:sz w:val="28"/>
          <w:szCs w:val="28"/>
        </w:rPr>
      </w:pPr>
    </w:p>
    <w:p w14:paraId="501A5E16" w14:textId="77777777" w:rsidR="00971D02" w:rsidRDefault="00971D02" w:rsidP="0007214C">
      <w:pPr>
        <w:spacing w:line="360" w:lineRule="auto"/>
        <w:jc w:val="center"/>
        <w:rPr>
          <w:rFonts w:ascii="Bookman Old Style" w:hAnsi="Bookman Old Style"/>
          <w:b/>
          <w:sz w:val="28"/>
          <w:szCs w:val="28"/>
        </w:rPr>
      </w:pPr>
    </w:p>
    <w:p w14:paraId="1E984F21" w14:textId="77777777" w:rsidR="00971D02" w:rsidRDefault="00971D02" w:rsidP="0007214C">
      <w:pPr>
        <w:spacing w:line="360" w:lineRule="auto"/>
        <w:jc w:val="center"/>
        <w:rPr>
          <w:rFonts w:ascii="Bookman Old Style" w:hAnsi="Bookman Old Style"/>
          <w:b/>
          <w:sz w:val="28"/>
          <w:szCs w:val="28"/>
        </w:rPr>
      </w:pPr>
    </w:p>
    <w:p w14:paraId="032FED3E" w14:textId="77777777" w:rsidR="0007214C" w:rsidRDefault="0007214C" w:rsidP="0007214C">
      <w:pPr>
        <w:spacing w:line="360" w:lineRule="auto"/>
        <w:rPr>
          <w:rFonts w:ascii="Bookman Old Style" w:hAnsi="Bookman Old Style"/>
          <w:sz w:val="28"/>
          <w:szCs w:val="28"/>
        </w:rPr>
      </w:pPr>
      <w:r w:rsidRPr="00633AD2">
        <w:rPr>
          <w:rFonts w:ascii="Bookman Old Style" w:hAnsi="Bookman Old Style"/>
          <w:sz w:val="28"/>
          <w:szCs w:val="28"/>
        </w:rPr>
        <w:lastRenderedPageBreak/>
        <w:t>I agree:</w:t>
      </w:r>
      <w:r w:rsidRPr="00633AD2">
        <w:rPr>
          <w:rFonts w:ascii="Bookman Old Style" w:hAnsi="Bookman Old Style"/>
          <w:sz w:val="28"/>
          <w:szCs w:val="28"/>
        </w:rPr>
        <w:tab/>
      </w:r>
    </w:p>
    <w:p w14:paraId="61F1EED4" w14:textId="77777777" w:rsidR="00971D02" w:rsidRDefault="00971D02" w:rsidP="0007214C">
      <w:pPr>
        <w:spacing w:line="360" w:lineRule="auto"/>
        <w:rPr>
          <w:rFonts w:ascii="Bookman Old Style" w:hAnsi="Bookman Old Style"/>
          <w:sz w:val="28"/>
          <w:szCs w:val="28"/>
        </w:rPr>
      </w:pPr>
    </w:p>
    <w:p w14:paraId="19641528" w14:textId="0FC93D3E" w:rsidR="00971D02" w:rsidRPr="00633AD2" w:rsidRDefault="00244CAE" w:rsidP="00244CAE">
      <w:pPr>
        <w:spacing w:line="360" w:lineRule="auto"/>
        <w:jc w:val="center"/>
        <w:rPr>
          <w:rFonts w:ascii="Bookman Old Style" w:hAnsi="Bookman Old Style"/>
          <w:sz w:val="28"/>
          <w:szCs w:val="28"/>
        </w:rPr>
      </w:pPr>
      <w:r w:rsidRPr="00244CAE">
        <w:rPr>
          <w:rFonts w:ascii="Bookman Old Style" w:hAnsi="Bookman Old Style"/>
          <w:noProof/>
          <w:sz w:val="28"/>
          <w:szCs w:val="28"/>
          <w:lang w:val="en-ZA" w:eastAsia="en-ZA"/>
        </w:rPr>
        <w:drawing>
          <wp:inline distT="0" distB="0" distL="0" distR="0" wp14:anchorId="4706ACC5" wp14:editId="17181614">
            <wp:extent cx="2190750" cy="619125"/>
            <wp:effectExtent l="0" t="0" r="0" b="9525"/>
            <wp:docPr id="3" name="Picture 3" descr="C:\Users\user\Pictures\JUDGE MTSHIYA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JUDGE MTSHIYA SIGNATUR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3345" cy="645293"/>
                    </a:xfrm>
                    <a:prstGeom prst="rect">
                      <a:avLst/>
                    </a:prstGeom>
                    <a:noFill/>
                    <a:ln>
                      <a:noFill/>
                    </a:ln>
                  </pic:spPr>
                </pic:pic>
              </a:graphicData>
            </a:graphic>
          </wp:inline>
        </w:drawing>
      </w:r>
    </w:p>
    <w:p w14:paraId="60AD0F21" w14:textId="77777777" w:rsidR="0007214C" w:rsidRPr="00633AD2" w:rsidRDefault="0007214C" w:rsidP="0007214C">
      <w:pPr>
        <w:spacing w:line="360" w:lineRule="auto"/>
        <w:jc w:val="center"/>
        <w:rPr>
          <w:rFonts w:ascii="Bookman Old Style" w:hAnsi="Bookman Old Style"/>
          <w:b/>
          <w:sz w:val="28"/>
          <w:szCs w:val="28"/>
        </w:rPr>
      </w:pPr>
      <w:r w:rsidRPr="00633AD2">
        <w:rPr>
          <w:rFonts w:ascii="Bookman Old Style" w:hAnsi="Bookman Old Style"/>
          <w:b/>
          <w:sz w:val="28"/>
          <w:szCs w:val="28"/>
        </w:rPr>
        <w:t>_____________________________</w:t>
      </w:r>
    </w:p>
    <w:p w14:paraId="6A2A5A40" w14:textId="77777777" w:rsidR="0007214C" w:rsidRPr="00633AD2" w:rsidRDefault="0007214C" w:rsidP="0007214C">
      <w:pPr>
        <w:spacing w:line="360" w:lineRule="auto"/>
        <w:jc w:val="center"/>
        <w:rPr>
          <w:rFonts w:ascii="Bookman Old Style" w:hAnsi="Bookman Old Style"/>
          <w:b/>
          <w:sz w:val="28"/>
          <w:szCs w:val="28"/>
        </w:rPr>
      </w:pPr>
      <w:r>
        <w:rPr>
          <w:rFonts w:ascii="Bookman Old Style" w:hAnsi="Bookman Old Style"/>
          <w:b/>
          <w:sz w:val="28"/>
          <w:szCs w:val="28"/>
        </w:rPr>
        <w:t>T. MTSHIYA</w:t>
      </w:r>
    </w:p>
    <w:p w14:paraId="75D5445B" w14:textId="77777777" w:rsidR="0007214C" w:rsidRDefault="0007214C" w:rsidP="0007214C">
      <w:pPr>
        <w:spacing w:line="360" w:lineRule="auto"/>
        <w:jc w:val="center"/>
        <w:rPr>
          <w:rFonts w:ascii="Bookman Old Style" w:hAnsi="Bookman Old Style"/>
          <w:b/>
          <w:sz w:val="28"/>
          <w:szCs w:val="28"/>
        </w:rPr>
      </w:pPr>
      <w:r w:rsidRPr="00633AD2">
        <w:rPr>
          <w:rFonts w:ascii="Bookman Old Style" w:hAnsi="Bookman Old Style"/>
          <w:b/>
          <w:sz w:val="28"/>
          <w:szCs w:val="28"/>
        </w:rPr>
        <w:t>ACTING JUSTICE OF APPEAL</w:t>
      </w:r>
    </w:p>
    <w:p w14:paraId="06569118" w14:textId="4699D294" w:rsidR="008C1BB2" w:rsidRDefault="008C1BB2">
      <w:pPr>
        <w:rPr>
          <w:rFonts w:ascii="Bookman Old Style" w:eastAsia="Calibri" w:hAnsi="Bookman Old Style" w:cs="Times New Roman"/>
          <w:b/>
          <w:sz w:val="28"/>
          <w:szCs w:val="28"/>
          <w:lang w:val="en-ZA"/>
        </w:rPr>
      </w:pPr>
    </w:p>
    <w:p w14:paraId="268585CB" w14:textId="77777777" w:rsidR="00195D83" w:rsidRDefault="00195D83" w:rsidP="00FE1812">
      <w:pPr>
        <w:pStyle w:val="MediumGrid21"/>
        <w:spacing w:line="360" w:lineRule="auto"/>
        <w:ind w:left="3119" w:right="1247" w:hanging="3119"/>
        <w:jc w:val="both"/>
        <w:rPr>
          <w:rFonts w:ascii="Bookman Old Style" w:hAnsi="Bookman Old Style"/>
          <w:b/>
          <w:sz w:val="28"/>
          <w:szCs w:val="28"/>
        </w:rPr>
      </w:pPr>
    </w:p>
    <w:p w14:paraId="4209002A" w14:textId="77777777" w:rsidR="0007214C" w:rsidRDefault="0007214C" w:rsidP="00FE1812">
      <w:pPr>
        <w:pStyle w:val="MediumGrid21"/>
        <w:spacing w:line="360" w:lineRule="auto"/>
        <w:ind w:left="3119" w:right="1247" w:hanging="3119"/>
        <w:jc w:val="both"/>
        <w:rPr>
          <w:rFonts w:ascii="Bookman Old Style" w:hAnsi="Bookman Old Style"/>
          <w:sz w:val="28"/>
          <w:szCs w:val="28"/>
        </w:rPr>
      </w:pPr>
      <w:r w:rsidRPr="00633AD2">
        <w:rPr>
          <w:rFonts w:ascii="Bookman Old Style" w:hAnsi="Bookman Old Style"/>
          <w:b/>
          <w:sz w:val="28"/>
          <w:szCs w:val="28"/>
        </w:rPr>
        <w:t>For Appellant</w:t>
      </w:r>
      <w:r w:rsidRPr="00633AD2">
        <w:rPr>
          <w:rFonts w:ascii="Bookman Old Style" w:hAnsi="Bookman Old Style"/>
          <w:sz w:val="28"/>
          <w:szCs w:val="28"/>
        </w:rPr>
        <w:t>:</w:t>
      </w:r>
      <w:r w:rsidRPr="00633AD2">
        <w:rPr>
          <w:rFonts w:ascii="Bookman Old Style" w:hAnsi="Bookman Old Style"/>
          <w:sz w:val="28"/>
          <w:szCs w:val="28"/>
        </w:rPr>
        <w:tab/>
      </w:r>
      <w:r w:rsidR="00484A31">
        <w:rPr>
          <w:rFonts w:ascii="Bookman Old Style" w:hAnsi="Bookman Old Style"/>
          <w:sz w:val="28"/>
          <w:szCs w:val="28"/>
        </w:rPr>
        <w:t>Mr.</w:t>
      </w:r>
      <w:r w:rsidR="00FE1812">
        <w:rPr>
          <w:rFonts w:ascii="Bookman Old Style" w:hAnsi="Bookman Old Style"/>
          <w:sz w:val="28"/>
          <w:szCs w:val="28"/>
        </w:rPr>
        <w:t xml:space="preserve"> Q. </w:t>
      </w:r>
      <w:proofErr w:type="spellStart"/>
      <w:r w:rsidR="00FE1812">
        <w:rPr>
          <w:rFonts w:ascii="Bookman Old Style" w:hAnsi="Bookman Old Style"/>
          <w:sz w:val="28"/>
          <w:szCs w:val="28"/>
        </w:rPr>
        <w:t>Letsika</w:t>
      </w:r>
      <w:proofErr w:type="spellEnd"/>
      <w:r w:rsidR="00FE1812">
        <w:rPr>
          <w:rFonts w:ascii="Bookman Old Style" w:hAnsi="Bookman Old Style"/>
          <w:sz w:val="28"/>
          <w:szCs w:val="28"/>
        </w:rPr>
        <w:t xml:space="preserve"> </w:t>
      </w:r>
    </w:p>
    <w:p w14:paraId="16304565" w14:textId="77777777" w:rsidR="001B6FDB" w:rsidRPr="00633AD2" w:rsidRDefault="001B6FDB" w:rsidP="00FE1812">
      <w:pPr>
        <w:pStyle w:val="MediumGrid21"/>
        <w:spacing w:line="360" w:lineRule="auto"/>
        <w:ind w:left="3119" w:right="1247" w:hanging="3119"/>
        <w:jc w:val="both"/>
        <w:rPr>
          <w:rFonts w:ascii="Bookman Old Style" w:hAnsi="Bookman Old Style"/>
          <w:sz w:val="28"/>
          <w:szCs w:val="28"/>
        </w:rPr>
      </w:pPr>
    </w:p>
    <w:p w14:paraId="11F84C96" w14:textId="77777777" w:rsidR="0007214C" w:rsidRPr="00633AD2" w:rsidRDefault="0007214C" w:rsidP="00FE1812">
      <w:pPr>
        <w:pStyle w:val="MediumGrid21"/>
        <w:spacing w:line="360" w:lineRule="auto"/>
        <w:ind w:left="3119" w:right="1247" w:hanging="3119"/>
        <w:jc w:val="both"/>
        <w:rPr>
          <w:rFonts w:ascii="Bookman Old Style" w:hAnsi="Bookman Old Style"/>
          <w:sz w:val="28"/>
          <w:szCs w:val="28"/>
        </w:rPr>
      </w:pPr>
      <w:r w:rsidRPr="00633AD2">
        <w:rPr>
          <w:rFonts w:ascii="Bookman Old Style" w:hAnsi="Bookman Old Style"/>
          <w:b/>
          <w:sz w:val="28"/>
          <w:szCs w:val="28"/>
        </w:rPr>
        <w:t>For Respondents</w:t>
      </w:r>
      <w:r w:rsidRPr="00633AD2">
        <w:rPr>
          <w:rFonts w:ascii="Bookman Old Style" w:hAnsi="Bookman Old Style"/>
          <w:sz w:val="28"/>
          <w:szCs w:val="28"/>
        </w:rPr>
        <w:t>:</w:t>
      </w:r>
      <w:r w:rsidRPr="00633AD2">
        <w:rPr>
          <w:rFonts w:ascii="Bookman Old Style" w:hAnsi="Bookman Old Style"/>
          <w:sz w:val="28"/>
          <w:szCs w:val="28"/>
        </w:rPr>
        <w:tab/>
      </w:r>
      <w:r w:rsidR="00FE1812">
        <w:rPr>
          <w:rFonts w:ascii="Bookman Old Style" w:hAnsi="Bookman Old Style"/>
          <w:sz w:val="28"/>
          <w:szCs w:val="28"/>
        </w:rPr>
        <w:t xml:space="preserve">Adv. T. </w:t>
      </w:r>
      <w:proofErr w:type="spellStart"/>
      <w:r w:rsidR="00FE1812">
        <w:rPr>
          <w:rFonts w:ascii="Bookman Old Style" w:hAnsi="Bookman Old Style"/>
          <w:sz w:val="28"/>
          <w:szCs w:val="28"/>
        </w:rPr>
        <w:t>Mpaka</w:t>
      </w:r>
      <w:proofErr w:type="spellEnd"/>
      <w:r w:rsidR="00FE1812">
        <w:rPr>
          <w:rFonts w:ascii="Bookman Old Style" w:hAnsi="Bookman Old Style"/>
          <w:sz w:val="28"/>
          <w:szCs w:val="28"/>
        </w:rPr>
        <w:t xml:space="preserve"> (for the 5</w:t>
      </w:r>
      <w:r w:rsidR="00FE1812" w:rsidRPr="00FE1812">
        <w:rPr>
          <w:rFonts w:ascii="Bookman Old Style" w:hAnsi="Bookman Old Style"/>
          <w:sz w:val="28"/>
          <w:szCs w:val="28"/>
          <w:vertAlign w:val="superscript"/>
        </w:rPr>
        <w:t>th</w:t>
      </w:r>
      <w:r w:rsidR="00FE1812">
        <w:rPr>
          <w:rFonts w:ascii="Bookman Old Style" w:hAnsi="Bookman Old Style"/>
          <w:sz w:val="28"/>
          <w:szCs w:val="28"/>
        </w:rPr>
        <w:t xml:space="preserve"> and 6</w:t>
      </w:r>
      <w:r w:rsidR="00FE1812" w:rsidRPr="00FE1812">
        <w:rPr>
          <w:rFonts w:ascii="Bookman Old Style" w:hAnsi="Bookman Old Style"/>
          <w:sz w:val="28"/>
          <w:szCs w:val="28"/>
          <w:vertAlign w:val="superscript"/>
        </w:rPr>
        <w:t>th</w:t>
      </w:r>
      <w:r w:rsidR="00FE1812">
        <w:rPr>
          <w:rFonts w:ascii="Bookman Old Style" w:hAnsi="Bookman Old Style"/>
          <w:sz w:val="28"/>
          <w:szCs w:val="28"/>
        </w:rPr>
        <w:t xml:space="preserve"> Respondents)</w:t>
      </w:r>
    </w:p>
    <w:p w14:paraId="7D9EDB93" w14:textId="77777777" w:rsidR="0007214C" w:rsidRPr="00633AD2" w:rsidRDefault="0007214C" w:rsidP="0007214C">
      <w:pPr>
        <w:pStyle w:val="MediumGrid21"/>
        <w:spacing w:line="360" w:lineRule="auto"/>
        <w:ind w:right="1247"/>
        <w:jc w:val="both"/>
        <w:rPr>
          <w:rFonts w:ascii="Bookman Old Style" w:hAnsi="Bookman Old Style"/>
          <w:sz w:val="28"/>
          <w:szCs w:val="28"/>
        </w:rPr>
      </w:pPr>
    </w:p>
    <w:p w14:paraId="525A8260" w14:textId="77777777" w:rsidR="00687A79" w:rsidRPr="00291ED9" w:rsidRDefault="00687A79" w:rsidP="00291ED9">
      <w:pPr>
        <w:pStyle w:val="ListParagraph"/>
        <w:spacing w:line="360" w:lineRule="auto"/>
        <w:jc w:val="both"/>
        <w:rPr>
          <w:rFonts w:ascii="Bookman Old Style" w:hAnsi="Bookman Old Style"/>
          <w:sz w:val="28"/>
          <w:szCs w:val="28"/>
          <w:lang w:val="en-US"/>
        </w:rPr>
      </w:pPr>
    </w:p>
    <w:p w14:paraId="75486CF8" w14:textId="77777777" w:rsidR="0084455D" w:rsidRPr="004B5D91" w:rsidRDefault="0084455D" w:rsidP="000D1B85">
      <w:pPr>
        <w:spacing w:line="360" w:lineRule="auto"/>
        <w:jc w:val="both"/>
        <w:rPr>
          <w:rFonts w:ascii="Bookman Old Style" w:hAnsi="Bookman Old Style"/>
          <w:sz w:val="28"/>
          <w:szCs w:val="28"/>
          <w:lang w:val="en-US"/>
        </w:rPr>
      </w:pPr>
    </w:p>
    <w:p w14:paraId="76896CF6" w14:textId="77777777" w:rsidR="0084455D" w:rsidRPr="004B5D91" w:rsidRDefault="0084455D" w:rsidP="000D1B85">
      <w:pPr>
        <w:spacing w:line="360" w:lineRule="auto"/>
        <w:jc w:val="both"/>
        <w:rPr>
          <w:rFonts w:ascii="Bookman Old Style" w:hAnsi="Bookman Old Style"/>
          <w:sz w:val="28"/>
          <w:szCs w:val="28"/>
          <w:lang w:val="en-US"/>
        </w:rPr>
      </w:pPr>
    </w:p>
    <w:sectPr w:rsidR="0084455D" w:rsidRPr="004B5D91" w:rsidSect="00D01090">
      <w:headerReference w:type="defaul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B0556" w14:textId="77777777" w:rsidR="00061064" w:rsidRDefault="00061064" w:rsidP="009527C6">
      <w:r>
        <w:separator/>
      </w:r>
    </w:p>
  </w:endnote>
  <w:endnote w:type="continuationSeparator" w:id="0">
    <w:p w14:paraId="630A9ACE" w14:textId="77777777" w:rsidR="00061064" w:rsidRDefault="00061064" w:rsidP="0095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1A837" w14:textId="77777777" w:rsidR="00061064" w:rsidRDefault="00061064" w:rsidP="009527C6">
      <w:r>
        <w:separator/>
      </w:r>
    </w:p>
  </w:footnote>
  <w:footnote w:type="continuationSeparator" w:id="0">
    <w:p w14:paraId="684A6368" w14:textId="77777777" w:rsidR="00061064" w:rsidRDefault="00061064" w:rsidP="009527C6">
      <w:r>
        <w:continuationSeparator/>
      </w:r>
    </w:p>
  </w:footnote>
  <w:footnote w:id="1">
    <w:p w14:paraId="18A6D0FB" w14:textId="77777777" w:rsidR="00B828AB" w:rsidRDefault="00B828AB" w:rsidP="00433D55">
      <w:pPr>
        <w:pStyle w:val="FootnoteText"/>
        <w:tabs>
          <w:tab w:val="left" w:pos="1134"/>
        </w:tabs>
        <w:jc w:val="both"/>
        <w:rPr>
          <w:rFonts w:ascii="Bookman Old Style" w:hAnsi="Bookman Old Style"/>
          <w:sz w:val="22"/>
          <w:szCs w:val="22"/>
        </w:rPr>
      </w:pPr>
      <w:r w:rsidRPr="00B828AB">
        <w:rPr>
          <w:rStyle w:val="FootnoteReference"/>
          <w:rFonts w:ascii="Bookman Old Style" w:hAnsi="Bookman Old Style"/>
          <w:sz w:val="22"/>
          <w:szCs w:val="22"/>
        </w:rPr>
        <w:footnoteRef/>
      </w:r>
      <w:r w:rsidRPr="00B828AB">
        <w:rPr>
          <w:rFonts w:ascii="Bookman Old Style" w:hAnsi="Bookman Old Style"/>
          <w:sz w:val="22"/>
          <w:szCs w:val="22"/>
        </w:rPr>
        <w:t xml:space="preserve"> </w:t>
      </w:r>
      <w:r w:rsidR="00433D55">
        <w:rPr>
          <w:rFonts w:ascii="Bookman Old Style" w:hAnsi="Bookman Old Style"/>
          <w:sz w:val="22"/>
          <w:szCs w:val="22"/>
        </w:rPr>
        <w:t>124.(1)</w:t>
      </w:r>
      <w:r w:rsidR="00433D55">
        <w:rPr>
          <w:rFonts w:ascii="Bookman Old Style" w:hAnsi="Bookman Old Style"/>
          <w:sz w:val="22"/>
          <w:szCs w:val="22"/>
        </w:rPr>
        <w:tab/>
      </w:r>
      <w:r w:rsidR="00B76574">
        <w:rPr>
          <w:rFonts w:ascii="Bookman Old Style" w:hAnsi="Bookman Old Style"/>
          <w:sz w:val="22"/>
          <w:szCs w:val="22"/>
        </w:rPr>
        <w:t>Subject to this Part, the rules in force under the law of insolvency with respect to the estates of persons adjudged insolvent shall apply in a liquidation of a company to</w:t>
      </w:r>
      <w:r w:rsidR="002B5BA2">
        <w:rPr>
          <w:rFonts w:ascii="Bookman Old Style" w:hAnsi="Bookman Old Style"/>
          <w:sz w:val="22"/>
          <w:szCs w:val="22"/>
        </w:rPr>
        <w:t xml:space="preserve"> </w:t>
      </w:r>
      <w:r w:rsidR="00B76574">
        <w:rPr>
          <w:rFonts w:ascii="Bookman Old Style" w:hAnsi="Bookman Old Style"/>
          <w:sz w:val="22"/>
          <w:szCs w:val="22"/>
        </w:rPr>
        <w:t xml:space="preserve">- </w:t>
      </w:r>
    </w:p>
    <w:p w14:paraId="52ABEEBF" w14:textId="77777777" w:rsidR="00B76574" w:rsidRDefault="00B76574" w:rsidP="002B5BA2">
      <w:pPr>
        <w:pStyle w:val="FootnoteText"/>
        <w:jc w:val="both"/>
        <w:rPr>
          <w:rFonts w:ascii="Bookman Old Style" w:hAnsi="Bookman Old Style"/>
          <w:sz w:val="22"/>
          <w:szCs w:val="22"/>
        </w:rPr>
      </w:pPr>
    </w:p>
    <w:p w14:paraId="28F2ECC1" w14:textId="77777777" w:rsidR="00B76574" w:rsidRDefault="00B76574" w:rsidP="002B5BA2">
      <w:pPr>
        <w:pStyle w:val="FootnoteText"/>
        <w:numPr>
          <w:ilvl w:val="0"/>
          <w:numId w:val="24"/>
        </w:numPr>
        <w:ind w:left="1560" w:hanging="426"/>
        <w:jc w:val="both"/>
        <w:rPr>
          <w:rFonts w:ascii="Bookman Old Style" w:hAnsi="Bookman Old Style"/>
          <w:sz w:val="22"/>
          <w:szCs w:val="22"/>
          <w:lang w:val="en-ZA"/>
        </w:rPr>
      </w:pPr>
      <w:r>
        <w:rPr>
          <w:rFonts w:ascii="Bookman Old Style" w:hAnsi="Bookman Old Style"/>
          <w:sz w:val="22"/>
          <w:szCs w:val="22"/>
          <w:lang w:val="en-ZA"/>
        </w:rPr>
        <w:t>meeting</w:t>
      </w:r>
      <w:r w:rsidR="002B5BA2">
        <w:rPr>
          <w:rFonts w:ascii="Bookman Old Style" w:hAnsi="Bookman Old Style"/>
          <w:sz w:val="22"/>
          <w:szCs w:val="22"/>
          <w:lang w:val="en-ZA"/>
        </w:rPr>
        <w:t>s</w:t>
      </w:r>
      <w:r>
        <w:rPr>
          <w:rFonts w:ascii="Bookman Old Style" w:hAnsi="Bookman Old Style"/>
          <w:sz w:val="22"/>
          <w:szCs w:val="22"/>
          <w:lang w:val="en-ZA"/>
        </w:rPr>
        <w:t xml:space="preserve"> of creditors;</w:t>
      </w:r>
    </w:p>
    <w:p w14:paraId="0A717A03" w14:textId="77777777" w:rsidR="00B76574" w:rsidRDefault="00B76574" w:rsidP="002B5BA2">
      <w:pPr>
        <w:pStyle w:val="FootnoteText"/>
        <w:numPr>
          <w:ilvl w:val="0"/>
          <w:numId w:val="24"/>
        </w:numPr>
        <w:ind w:left="1560" w:hanging="426"/>
        <w:jc w:val="both"/>
        <w:rPr>
          <w:rFonts w:ascii="Bookman Old Style" w:hAnsi="Bookman Old Style"/>
          <w:sz w:val="22"/>
          <w:szCs w:val="22"/>
          <w:lang w:val="en-ZA"/>
        </w:rPr>
      </w:pPr>
      <w:r>
        <w:rPr>
          <w:rFonts w:ascii="Bookman Old Style" w:hAnsi="Bookman Old Style"/>
          <w:sz w:val="22"/>
          <w:szCs w:val="22"/>
          <w:lang w:val="en-ZA"/>
        </w:rPr>
        <w:t>the rights of secured and unsecured creditors;</w:t>
      </w:r>
    </w:p>
    <w:p w14:paraId="3E628D05" w14:textId="77777777" w:rsidR="00B76574" w:rsidRDefault="00B76574" w:rsidP="002B5BA2">
      <w:pPr>
        <w:pStyle w:val="FootnoteText"/>
        <w:numPr>
          <w:ilvl w:val="0"/>
          <w:numId w:val="24"/>
        </w:numPr>
        <w:ind w:left="1560" w:hanging="426"/>
        <w:jc w:val="both"/>
        <w:rPr>
          <w:rFonts w:ascii="Bookman Old Style" w:hAnsi="Bookman Old Style"/>
          <w:sz w:val="22"/>
          <w:szCs w:val="22"/>
          <w:lang w:val="en-ZA"/>
        </w:rPr>
      </w:pPr>
      <w:r>
        <w:rPr>
          <w:rFonts w:ascii="Bookman Old Style" w:hAnsi="Bookman Old Style"/>
          <w:sz w:val="22"/>
          <w:szCs w:val="22"/>
          <w:lang w:val="en-ZA"/>
        </w:rPr>
        <w:t>claims by creditors; and</w:t>
      </w:r>
    </w:p>
    <w:p w14:paraId="65C8E10A" w14:textId="77777777" w:rsidR="00B76574" w:rsidRDefault="00B76574" w:rsidP="002B5BA2">
      <w:pPr>
        <w:pStyle w:val="FootnoteText"/>
        <w:numPr>
          <w:ilvl w:val="0"/>
          <w:numId w:val="24"/>
        </w:numPr>
        <w:ind w:left="1560" w:hanging="426"/>
        <w:jc w:val="both"/>
        <w:rPr>
          <w:rFonts w:ascii="Bookman Old Style" w:hAnsi="Bookman Old Style"/>
          <w:sz w:val="22"/>
          <w:szCs w:val="22"/>
          <w:lang w:val="en-ZA"/>
        </w:rPr>
      </w:pPr>
      <w:r>
        <w:rPr>
          <w:rFonts w:ascii="Bookman Old Style" w:hAnsi="Bookman Old Style"/>
          <w:sz w:val="22"/>
          <w:szCs w:val="22"/>
          <w:lang w:val="en-ZA"/>
        </w:rPr>
        <w:t>the valuation of future and contingent liabilities.</w:t>
      </w:r>
    </w:p>
    <w:p w14:paraId="666E2FDF" w14:textId="77777777" w:rsidR="00B76574" w:rsidRDefault="00B76574" w:rsidP="002B5BA2">
      <w:pPr>
        <w:pStyle w:val="FootnoteText"/>
        <w:ind w:left="1418"/>
        <w:jc w:val="both"/>
        <w:rPr>
          <w:rFonts w:ascii="Bookman Old Style" w:hAnsi="Bookman Old Style"/>
          <w:sz w:val="22"/>
          <w:szCs w:val="22"/>
          <w:lang w:val="en-ZA"/>
        </w:rPr>
      </w:pPr>
    </w:p>
    <w:p w14:paraId="2C2F65CA" w14:textId="77777777" w:rsidR="00B76574" w:rsidRDefault="00433D55" w:rsidP="00433D55">
      <w:pPr>
        <w:pStyle w:val="FootnoteText"/>
        <w:ind w:left="1134" w:hanging="425"/>
        <w:jc w:val="both"/>
        <w:rPr>
          <w:rFonts w:ascii="Bookman Old Style" w:hAnsi="Bookman Old Style"/>
          <w:sz w:val="22"/>
          <w:szCs w:val="22"/>
          <w:lang w:val="en-ZA"/>
        </w:rPr>
      </w:pPr>
      <w:r>
        <w:rPr>
          <w:rFonts w:ascii="Bookman Old Style" w:hAnsi="Bookman Old Style"/>
          <w:sz w:val="22"/>
          <w:szCs w:val="22"/>
          <w:lang w:val="en-ZA"/>
        </w:rPr>
        <w:t>(2)</w:t>
      </w:r>
      <w:r>
        <w:rPr>
          <w:rFonts w:ascii="Bookman Old Style" w:hAnsi="Bookman Old Style"/>
          <w:sz w:val="22"/>
          <w:szCs w:val="22"/>
          <w:lang w:val="en-ZA"/>
        </w:rPr>
        <w:tab/>
      </w:r>
      <w:r w:rsidR="002B5BA2">
        <w:rPr>
          <w:rFonts w:ascii="Bookman Old Style" w:hAnsi="Bookman Old Style"/>
          <w:sz w:val="22"/>
          <w:szCs w:val="22"/>
          <w:lang w:val="en-ZA"/>
        </w:rPr>
        <w:t>A person who is entitled to</w:t>
      </w:r>
      <w:r w:rsidR="00B76574">
        <w:rPr>
          <w:rFonts w:ascii="Bookman Old Style" w:hAnsi="Bookman Old Style"/>
          <w:sz w:val="22"/>
          <w:szCs w:val="22"/>
          <w:lang w:val="en-ZA"/>
        </w:rPr>
        <w:t xml:space="preserve"> make a claim and receive payment in whole or in part from a company shall be entitled to do so in a liquidation of a company.</w:t>
      </w:r>
    </w:p>
    <w:p w14:paraId="3160BFD0" w14:textId="77777777" w:rsidR="00B76574" w:rsidRDefault="00B76574" w:rsidP="002B5BA2">
      <w:pPr>
        <w:pStyle w:val="FootnoteText"/>
        <w:ind w:left="709"/>
        <w:jc w:val="both"/>
        <w:rPr>
          <w:rFonts w:ascii="Bookman Old Style" w:hAnsi="Bookman Old Style"/>
          <w:sz w:val="22"/>
          <w:szCs w:val="22"/>
          <w:lang w:val="en-ZA"/>
        </w:rPr>
      </w:pPr>
    </w:p>
    <w:p w14:paraId="67AB68B3" w14:textId="77777777" w:rsidR="002B5BA2" w:rsidRPr="00B828AB" w:rsidRDefault="00433D55" w:rsidP="00433D55">
      <w:pPr>
        <w:pStyle w:val="FootnoteText"/>
        <w:ind w:left="1134" w:hanging="425"/>
        <w:jc w:val="both"/>
        <w:rPr>
          <w:rFonts w:ascii="Bookman Old Style" w:hAnsi="Bookman Old Style"/>
          <w:sz w:val="22"/>
          <w:szCs w:val="22"/>
          <w:lang w:val="en-ZA"/>
        </w:rPr>
      </w:pPr>
      <w:r>
        <w:rPr>
          <w:rFonts w:ascii="Bookman Old Style" w:hAnsi="Bookman Old Style"/>
          <w:sz w:val="22"/>
          <w:szCs w:val="22"/>
          <w:lang w:val="en-ZA"/>
        </w:rPr>
        <w:t>(3)</w:t>
      </w:r>
      <w:r>
        <w:rPr>
          <w:rFonts w:ascii="Bookman Old Style" w:hAnsi="Bookman Old Style"/>
          <w:sz w:val="22"/>
          <w:szCs w:val="22"/>
          <w:lang w:val="en-ZA"/>
        </w:rPr>
        <w:tab/>
      </w:r>
      <w:r w:rsidR="002B5BA2">
        <w:rPr>
          <w:rFonts w:ascii="Bookman Old Style" w:hAnsi="Bookman Old Style"/>
          <w:sz w:val="22"/>
          <w:szCs w:val="22"/>
          <w:lang w:val="en-ZA"/>
        </w:rPr>
        <w:t xml:space="preserve">In applying rules of the law of insolvency in liquidation a claim by an unsecured creditor admitted by a liquidator shall be treated as if it were a debt proved in accordance with the requirements of the Insolvency Proclamation 1957 or any other law relating to insolvency. </w:t>
      </w:r>
    </w:p>
  </w:footnote>
  <w:footnote w:id="2">
    <w:p w14:paraId="35DC8893" w14:textId="77777777" w:rsidR="009527C6" w:rsidRPr="00A941BA" w:rsidRDefault="009527C6" w:rsidP="00A941BA">
      <w:pPr>
        <w:pStyle w:val="FootnoteText"/>
        <w:jc w:val="both"/>
        <w:rPr>
          <w:rFonts w:ascii="Bookman Old Style" w:hAnsi="Bookman Old Style"/>
          <w:sz w:val="22"/>
          <w:szCs w:val="22"/>
          <w:lang w:val="en-US"/>
        </w:rPr>
      </w:pPr>
      <w:r>
        <w:rPr>
          <w:rStyle w:val="FootnoteReference"/>
        </w:rPr>
        <w:footnoteRef/>
      </w:r>
      <w:r>
        <w:t xml:space="preserve"> </w:t>
      </w:r>
      <w:r w:rsidRPr="00A941BA">
        <w:rPr>
          <w:rFonts w:ascii="Bookman Old Style" w:hAnsi="Bookman Old Style"/>
          <w:sz w:val="22"/>
          <w:szCs w:val="22"/>
          <w:lang w:val="en-US"/>
        </w:rPr>
        <w:t>See s 1(1) of the SA Companies Act 61 of 1973, which defines a ‘’liquidator’’</w:t>
      </w:r>
      <w:r w:rsidR="00F830DE" w:rsidRPr="00A941BA">
        <w:rPr>
          <w:rFonts w:ascii="Bookman Old Style" w:hAnsi="Bookman Old Style"/>
          <w:sz w:val="22"/>
          <w:szCs w:val="22"/>
          <w:lang w:val="en-US"/>
        </w:rPr>
        <w:t xml:space="preserve"> </w:t>
      </w:r>
      <w:r w:rsidRPr="00A941BA">
        <w:rPr>
          <w:rFonts w:ascii="Bookman Old Style" w:hAnsi="Bookman Old Style"/>
          <w:sz w:val="22"/>
          <w:szCs w:val="22"/>
          <w:lang w:val="en-US"/>
        </w:rPr>
        <w:t xml:space="preserve">as including, unless the context indicates otherwise, a provisional liquidator: </w:t>
      </w:r>
      <w:r w:rsidRPr="00A941BA">
        <w:rPr>
          <w:rFonts w:ascii="Bookman Old Style" w:hAnsi="Bookman Old Style"/>
          <w:i/>
          <w:sz w:val="22"/>
          <w:szCs w:val="22"/>
          <w:lang w:val="en-US"/>
        </w:rPr>
        <w:t>Ex parte Provisional Li</w:t>
      </w:r>
      <w:r w:rsidR="003844E4" w:rsidRPr="00A941BA">
        <w:rPr>
          <w:rFonts w:ascii="Bookman Old Style" w:hAnsi="Bookman Old Style"/>
          <w:i/>
          <w:sz w:val="22"/>
          <w:szCs w:val="22"/>
          <w:lang w:val="en-US"/>
        </w:rPr>
        <w:t>quidators</w:t>
      </w:r>
      <w:r w:rsidRPr="00A941BA">
        <w:rPr>
          <w:rFonts w:ascii="Bookman Old Style" w:hAnsi="Bookman Old Style"/>
          <w:i/>
          <w:sz w:val="22"/>
          <w:szCs w:val="22"/>
          <w:lang w:val="en-US"/>
        </w:rPr>
        <w:t xml:space="preserve"> Pharmacy Holdings Ltd</w:t>
      </w:r>
      <w:r w:rsidRPr="00A941BA">
        <w:rPr>
          <w:rFonts w:ascii="Bookman Old Style" w:hAnsi="Bookman Old Style"/>
          <w:sz w:val="22"/>
          <w:szCs w:val="22"/>
          <w:lang w:val="en-US"/>
        </w:rPr>
        <w:t xml:space="preserve"> 1962 (2) SA 12 (W) 14; </w:t>
      </w:r>
      <w:r w:rsidRPr="00A941BA">
        <w:rPr>
          <w:rFonts w:ascii="Bookman Old Style" w:hAnsi="Bookman Old Style"/>
          <w:i/>
          <w:sz w:val="22"/>
          <w:szCs w:val="22"/>
          <w:lang w:val="en-US"/>
        </w:rPr>
        <w:t xml:space="preserve">Ex parte Contemporary </w:t>
      </w:r>
      <w:r w:rsidRPr="00FE1812">
        <w:rPr>
          <w:rFonts w:ascii="Bookman Old Style" w:hAnsi="Bookman Old Style"/>
          <w:i/>
          <w:sz w:val="22"/>
          <w:szCs w:val="22"/>
          <w:lang w:val="en-US"/>
        </w:rPr>
        <w:t>Refrigirator</w:t>
      </w:r>
      <w:r w:rsidRPr="00A941BA">
        <w:rPr>
          <w:rFonts w:ascii="Bookman Old Style" w:hAnsi="Bookman Old Style"/>
          <w:i/>
          <w:sz w:val="22"/>
          <w:szCs w:val="22"/>
          <w:lang w:val="en-US"/>
        </w:rPr>
        <w:t xml:space="preserve"> (Pty) Ltd </w:t>
      </w:r>
      <w:r w:rsidRPr="00A941BA">
        <w:rPr>
          <w:rFonts w:ascii="Bookman Old Style" w:hAnsi="Bookman Old Style"/>
          <w:sz w:val="22"/>
          <w:szCs w:val="22"/>
          <w:lang w:val="en-US"/>
        </w:rPr>
        <w:t>1966 (2 SA 227 (D) 229.</w:t>
      </w:r>
    </w:p>
  </w:footnote>
  <w:footnote w:id="3">
    <w:p w14:paraId="6870384E" w14:textId="77777777" w:rsidR="00F830DE" w:rsidRPr="00A941BA" w:rsidRDefault="00F830DE" w:rsidP="00A941BA">
      <w:pPr>
        <w:jc w:val="both"/>
        <w:rPr>
          <w:rFonts w:ascii="Bookman Old Style" w:hAnsi="Bookman Old Style"/>
          <w:sz w:val="22"/>
          <w:szCs w:val="22"/>
          <w:lang w:val="en-US"/>
        </w:rPr>
      </w:pPr>
      <w:r w:rsidRPr="00A941BA">
        <w:rPr>
          <w:rStyle w:val="FootnoteReference"/>
          <w:rFonts w:ascii="Bookman Old Style" w:hAnsi="Bookman Old Style"/>
          <w:sz w:val="22"/>
          <w:szCs w:val="22"/>
        </w:rPr>
        <w:footnoteRef/>
      </w:r>
      <w:r w:rsidRPr="00A941BA">
        <w:rPr>
          <w:rFonts w:ascii="Bookman Old Style" w:hAnsi="Bookman Old Style"/>
          <w:sz w:val="22"/>
          <w:szCs w:val="22"/>
        </w:rPr>
        <w:t xml:space="preserve"> </w:t>
      </w:r>
      <w:r w:rsidRPr="00A941BA">
        <w:rPr>
          <w:rFonts w:ascii="Bookman Old Style" w:hAnsi="Bookman Old Style"/>
          <w:sz w:val="22"/>
          <w:szCs w:val="22"/>
          <w:lang w:val="en-US"/>
        </w:rPr>
        <w:t xml:space="preserve">Section 129 of the CA 2011 sets out the powers of the liquidator to include ‘the powers necessary to carry out his or her functions and duties’ under the CA 2011 ‘and those provided for under the Insolvency Proclamation’ or any other law relating to insolvency. </w:t>
      </w:r>
    </w:p>
    <w:p w14:paraId="342CFE6D" w14:textId="77777777" w:rsidR="00F830DE" w:rsidRPr="00A941BA" w:rsidRDefault="00F830DE" w:rsidP="00A941BA">
      <w:pPr>
        <w:pStyle w:val="FootnoteText"/>
        <w:jc w:val="both"/>
        <w:rPr>
          <w:rFonts w:ascii="Bookman Old Style" w:hAnsi="Bookman Old Style"/>
          <w:sz w:val="22"/>
          <w:szCs w:val="22"/>
          <w:lang w:val="en-US"/>
        </w:rPr>
      </w:pPr>
    </w:p>
  </w:footnote>
  <w:footnote w:id="4">
    <w:p w14:paraId="3D295944" w14:textId="77777777" w:rsidR="00ED3C6D" w:rsidRPr="00A941BA" w:rsidRDefault="00ED3C6D" w:rsidP="00A941BA">
      <w:pPr>
        <w:pStyle w:val="FootnoteText"/>
        <w:jc w:val="both"/>
        <w:rPr>
          <w:rFonts w:ascii="Bookman Old Style" w:hAnsi="Bookman Old Style"/>
          <w:sz w:val="22"/>
          <w:szCs w:val="22"/>
          <w:lang w:val="en-US"/>
        </w:rPr>
      </w:pPr>
      <w:r w:rsidRPr="00A941BA">
        <w:rPr>
          <w:rStyle w:val="FootnoteReference"/>
          <w:rFonts w:ascii="Bookman Old Style" w:hAnsi="Bookman Old Style"/>
          <w:sz w:val="22"/>
          <w:szCs w:val="22"/>
        </w:rPr>
        <w:footnoteRef/>
      </w:r>
      <w:r w:rsidRPr="00A941BA">
        <w:rPr>
          <w:rFonts w:ascii="Bookman Old Style" w:hAnsi="Bookman Old Style"/>
          <w:sz w:val="22"/>
          <w:szCs w:val="22"/>
        </w:rPr>
        <w:t xml:space="preserve"> </w:t>
      </w:r>
      <w:r w:rsidRPr="00A941BA">
        <w:rPr>
          <w:rFonts w:ascii="Bookman Old Style" w:hAnsi="Bookman Old Style"/>
          <w:sz w:val="22"/>
          <w:szCs w:val="22"/>
          <w:lang w:val="en-US"/>
        </w:rPr>
        <w:t>The Companies Act 2011, s 127(5).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7843328"/>
      <w:docPartObj>
        <w:docPartGallery w:val="Page Numbers (Top of Page)"/>
        <w:docPartUnique/>
      </w:docPartObj>
    </w:sdtPr>
    <w:sdtEndPr>
      <w:rPr>
        <w:rFonts w:ascii="Bookman Old Style" w:hAnsi="Bookman Old Style"/>
        <w:noProof/>
        <w:sz w:val="22"/>
        <w:szCs w:val="22"/>
      </w:rPr>
    </w:sdtEndPr>
    <w:sdtContent>
      <w:p w14:paraId="0815513E" w14:textId="77777777" w:rsidR="00D01090" w:rsidRPr="00D01090" w:rsidRDefault="00D01090">
        <w:pPr>
          <w:pStyle w:val="Header"/>
          <w:jc w:val="right"/>
          <w:rPr>
            <w:rFonts w:ascii="Bookman Old Style" w:hAnsi="Bookman Old Style"/>
            <w:sz w:val="22"/>
            <w:szCs w:val="22"/>
          </w:rPr>
        </w:pPr>
        <w:r w:rsidRPr="00D01090">
          <w:rPr>
            <w:rFonts w:ascii="Bookman Old Style" w:hAnsi="Bookman Old Style"/>
            <w:sz w:val="22"/>
            <w:szCs w:val="22"/>
          </w:rPr>
          <w:fldChar w:fldCharType="begin"/>
        </w:r>
        <w:r w:rsidRPr="00D01090">
          <w:rPr>
            <w:rFonts w:ascii="Bookman Old Style" w:hAnsi="Bookman Old Style"/>
            <w:sz w:val="22"/>
            <w:szCs w:val="22"/>
          </w:rPr>
          <w:instrText xml:space="preserve"> PAGE   \* MERGEFORMAT </w:instrText>
        </w:r>
        <w:r w:rsidRPr="00D01090">
          <w:rPr>
            <w:rFonts w:ascii="Bookman Old Style" w:hAnsi="Bookman Old Style"/>
            <w:sz w:val="22"/>
            <w:szCs w:val="22"/>
          </w:rPr>
          <w:fldChar w:fldCharType="separate"/>
        </w:r>
        <w:r w:rsidR="00244CAE">
          <w:rPr>
            <w:rFonts w:ascii="Bookman Old Style" w:hAnsi="Bookman Old Style"/>
            <w:noProof/>
            <w:sz w:val="22"/>
            <w:szCs w:val="22"/>
          </w:rPr>
          <w:t>20</w:t>
        </w:r>
        <w:r w:rsidRPr="00D01090">
          <w:rPr>
            <w:rFonts w:ascii="Bookman Old Style" w:hAnsi="Bookman Old Style"/>
            <w:noProof/>
            <w:sz w:val="22"/>
            <w:szCs w:val="22"/>
          </w:rPr>
          <w:fldChar w:fldCharType="end"/>
        </w:r>
      </w:p>
    </w:sdtContent>
  </w:sdt>
  <w:p w14:paraId="34DA6A67" w14:textId="77777777" w:rsidR="00D01090" w:rsidRDefault="00D010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0136"/>
    <w:multiLevelType w:val="hybridMultilevel"/>
    <w:tmpl w:val="6DDC0244"/>
    <w:lvl w:ilvl="0" w:tplc="316089BC">
      <w:start w:val="1"/>
      <w:numFmt w:val="lowerLetter"/>
      <w:lvlText w:val="(%1)"/>
      <w:lvlJc w:val="left"/>
      <w:pPr>
        <w:ind w:left="1691" w:hanging="84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15:restartNumberingAfterBreak="0">
    <w:nsid w:val="05275CB0"/>
    <w:multiLevelType w:val="hybridMultilevel"/>
    <w:tmpl w:val="90221292"/>
    <w:lvl w:ilvl="0" w:tplc="D0DC18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611768"/>
    <w:multiLevelType w:val="hybridMultilevel"/>
    <w:tmpl w:val="2C369D62"/>
    <w:lvl w:ilvl="0" w:tplc="8E5A7F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57C91"/>
    <w:multiLevelType w:val="hybridMultilevel"/>
    <w:tmpl w:val="DBEEF252"/>
    <w:lvl w:ilvl="0" w:tplc="1706C5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930D65"/>
    <w:multiLevelType w:val="hybridMultilevel"/>
    <w:tmpl w:val="9ADA0296"/>
    <w:lvl w:ilvl="0" w:tplc="86D03832">
      <w:start w:val="1"/>
      <w:numFmt w:val="decimal"/>
      <w:lvlText w:val="(%1)"/>
      <w:lvlJc w:val="left"/>
      <w:pPr>
        <w:ind w:left="1080" w:hanging="360"/>
      </w:pPr>
      <w:rPr>
        <w:rFonts w:ascii="Bookman Old Style" w:eastAsiaTheme="minorHAnsi" w:hAnsi="Bookman Old Style"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0E2F7C"/>
    <w:multiLevelType w:val="hybridMultilevel"/>
    <w:tmpl w:val="2E7CD026"/>
    <w:lvl w:ilvl="0" w:tplc="4C62BE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0C4E2B"/>
    <w:multiLevelType w:val="hybridMultilevel"/>
    <w:tmpl w:val="172A0870"/>
    <w:lvl w:ilvl="0" w:tplc="FF8EB95A">
      <w:start w:val="1"/>
      <w:numFmt w:val="decimal"/>
      <w:lvlText w:val="[%1]"/>
      <w:lvlJc w:val="left"/>
      <w:pPr>
        <w:ind w:left="3763" w:hanging="360"/>
      </w:pPr>
      <w:rPr>
        <w:b w:val="0"/>
        <w:i w:val="0"/>
        <w:color w:val="auto"/>
      </w:rPr>
    </w:lvl>
    <w:lvl w:ilvl="1" w:tplc="1C090019">
      <w:start w:val="1"/>
      <w:numFmt w:val="lowerLetter"/>
      <w:lvlText w:val="%2."/>
      <w:lvlJc w:val="left"/>
      <w:pPr>
        <w:ind w:left="4876" w:hanging="360"/>
      </w:pPr>
    </w:lvl>
    <w:lvl w:ilvl="2" w:tplc="1C09001B">
      <w:start w:val="1"/>
      <w:numFmt w:val="lowerRoman"/>
      <w:lvlText w:val="%3."/>
      <w:lvlJc w:val="right"/>
      <w:pPr>
        <w:ind w:left="5596" w:hanging="180"/>
      </w:pPr>
    </w:lvl>
    <w:lvl w:ilvl="3" w:tplc="1C09000F">
      <w:start w:val="1"/>
      <w:numFmt w:val="decimal"/>
      <w:lvlText w:val="%4."/>
      <w:lvlJc w:val="left"/>
      <w:pPr>
        <w:ind w:left="6316" w:hanging="360"/>
      </w:pPr>
    </w:lvl>
    <w:lvl w:ilvl="4" w:tplc="1C090019">
      <w:start w:val="1"/>
      <w:numFmt w:val="lowerLetter"/>
      <w:lvlText w:val="%5."/>
      <w:lvlJc w:val="left"/>
      <w:pPr>
        <w:ind w:left="7036" w:hanging="360"/>
      </w:pPr>
    </w:lvl>
    <w:lvl w:ilvl="5" w:tplc="1C09001B">
      <w:start w:val="1"/>
      <w:numFmt w:val="lowerRoman"/>
      <w:lvlText w:val="%6."/>
      <w:lvlJc w:val="right"/>
      <w:pPr>
        <w:ind w:left="7756" w:hanging="180"/>
      </w:pPr>
    </w:lvl>
    <w:lvl w:ilvl="6" w:tplc="1C09000F">
      <w:start w:val="1"/>
      <w:numFmt w:val="decimal"/>
      <w:lvlText w:val="%7."/>
      <w:lvlJc w:val="left"/>
      <w:pPr>
        <w:ind w:left="8476" w:hanging="360"/>
      </w:pPr>
    </w:lvl>
    <w:lvl w:ilvl="7" w:tplc="1C090019">
      <w:start w:val="1"/>
      <w:numFmt w:val="lowerLetter"/>
      <w:lvlText w:val="%8."/>
      <w:lvlJc w:val="left"/>
      <w:pPr>
        <w:ind w:left="9196" w:hanging="360"/>
      </w:pPr>
    </w:lvl>
    <w:lvl w:ilvl="8" w:tplc="1C09001B">
      <w:start w:val="1"/>
      <w:numFmt w:val="lowerRoman"/>
      <w:lvlText w:val="%9."/>
      <w:lvlJc w:val="right"/>
      <w:pPr>
        <w:ind w:left="9916" w:hanging="180"/>
      </w:pPr>
    </w:lvl>
  </w:abstractNum>
  <w:abstractNum w:abstractNumId="7" w15:restartNumberingAfterBreak="0">
    <w:nsid w:val="24BD2703"/>
    <w:multiLevelType w:val="hybridMultilevel"/>
    <w:tmpl w:val="A91C34DA"/>
    <w:lvl w:ilvl="0" w:tplc="8EF4B4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8F16E5E"/>
    <w:multiLevelType w:val="hybridMultilevel"/>
    <w:tmpl w:val="D5EEC0F8"/>
    <w:lvl w:ilvl="0" w:tplc="6E74B9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F02C67"/>
    <w:multiLevelType w:val="hybridMultilevel"/>
    <w:tmpl w:val="3EC8ECD0"/>
    <w:lvl w:ilvl="0" w:tplc="8EF4B44A">
      <w:start w:val="1"/>
      <w:numFmt w:val="lowerLetter"/>
      <w:lvlText w:val="(%1)"/>
      <w:lvlJc w:val="left"/>
      <w:pPr>
        <w:ind w:left="3763" w:hanging="360"/>
      </w:pPr>
      <w:rPr>
        <w:rFonts w:hint="default"/>
        <w:b w:val="0"/>
        <w:i w:val="0"/>
        <w:color w:val="auto"/>
      </w:rPr>
    </w:lvl>
    <w:lvl w:ilvl="1" w:tplc="1C090019">
      <w:start w:val="1"/>
      <w:numFmt w:val="lowerLetter"/>
      <w:lvlText w:val="%2."/>
      <w:lvlJc w:val="left"/>
      <w:pPr>
        <w:ind w:left="4876" w:hanging="360"/>
      </w:pPr>
    </w:lvl>
    <w:lvl w:ilvl="2" w:tplc="1C09001B">
      <w:start w:val="1"/>
      <w:numFmt w:val="lowerRoman"/>
      <w:lvlText w:val="%3."/>
      <w:lvlJc w:val="right"/>
      <w:pPr>
        <w:ind w:left="5596" w:hanging="180"/>
      </w:pPr>
    </w:lvl>
    <w:lvl w:ilvl="3" w:tplc="1C09000F">
      <w:start w:val="1"/>
      <w:numFmt w:val="decimal"/>
      <w:lvlText w:val="%4."/>
      <w:lvlJc w:val="left"/>
      <w:pPr>
        <w:ind w:left="6316" w:hanging="360"/>
      </w:pPr>
    </w:lvl>
    <w:lvl w:ilvl="4" w:tplc="1C090019">
      <w:start w:val="1"/>
      <w:numFmt w:val="lowerLetter"/>
      <w:lvlText w:val="%5."/>
      <w:lvlJc w:val="left"/>
      <w:pPr>
        <w:ind w:left="7036" w:hanging="360"/>
      </w:pPr>
    </w:lvl>
    <w:lvl w:ilvl="5" w:tplc="1C09001B">
      <w:start w:val="1"/>
      <w:numFmt w:val="lowerRoman"/>
      <w:lvlText w:val="%6."/>
      <w:lvlJc w:val="right"/>
      <w:pPr>
        <w:ind w:left="7756" w:hanging="180"/>
      </w:pPr>
    </w:lvl>
    <w:lvl w:ilvl="6" w:tplc="1C09000F">
      <w:start w:val="1"/>
      <w:numFmt w:val="decimal"/>
      <w:lvlText w:val="%7."/>
      <w:lvlJc w:val="left"/>
      <w:pPr>
        <w:ind w:left="8476" w:hanging="360"/>
      </w:pPr>
    </w:lvl>
    <w:lvl w:ilvl="7" w:tplc="1C090019">
      <w:start w:val="1"/>
      <w:numFmt w:val="lowerLetter"/>
      <w:lvlText w:val="%8."/>
      <w:lvlJc w:val="left"/>
      <w:pPr>
        <w:ind w:left="9196" w:hanging="360"/>
      </w:pPr>
    </w:lvl>
    <w:lvl w:ilvl="8" w:tplc="1C09001B">
      <w:start w:val="1"/>
      <w:numFmt w:val="lowerRoman"/>
      <w:lvlText w:val="%9."/>
      <w:lvlJc w:val="right"/>
      <w:pPr>
        <w:ind w:left="9916" w:hanging="180"/>
      </w:pPr>
    </w:lvl>
  </w:abstractNum>
  <w:abstractNum w:abstractNumId="10" w15:restartNumberingAfterBreak="0">
    <w:nsid w:val="335346F8"/>
    <w:multiLevelType w:val="hybridMultilevel"/>
    <w:tmpl w:val="82FEC756"/>
    <w:lvl w:ilvl="0" w:tplc="0D1C2C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87E7CF5"/>
    <w:multiLevelType w:val="hybridMultilevel"/>
    <w:tmpl w:val="62C457A6"/>
    <w:lvl w:ilvl="0" w:tplc="90ACA1C4">
      <w:start w:val="1"/>
      <w:numFmt w:val="lowerLetter"/>
      <w:lvlText w:val="(%1)"/>
      <w:lvlJc w:val="left"/>
      <w:pPr>
        <w:ind w:left="1026" w:hanging="360"/>
      </w:pPr>
      <w:rPr>
        <w:rFonts w:hint="default"/>
      </w:rPr>
    </w:lvl>
    <w:lvl w:ilvl="1" w:tplc="1C090019" w:tentative="1">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2" w15:restartNumberingAfterBreak="0">
    <w:nsid w:val="44676446"/>
    <w:multiLevelType w:val="hybridMultilevel"/>
    <w:tmpl w:val="0492C9A8"/>
    <w:lvl w:ilvl="0" w:tplc="40AC53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8D0B42"/>
    <w:multiLevelType w:val="hybridMultilevel"/>
    <w:tmpl w:val="1C50AA78"/>
    <w:lvl w:ilvl="0" w:tplc="FEF23266">
      <w:start w:val="1"/>
      <w:numFmt w:val="lowerLetter"/>
      <w:lvlText w:val="(%1)"/>
      <w:lvlJc w:val="left"/>
      <w:pPr>
        <w:ind w:left="7732" w:hanging="360"/>
      </w:pPr>
      <w:rPr>
        <w:rFonts w:hint="default"/>
      </w:rPr>
    </w:lvl>
    <w:lvl w:ilvl="1" w:tplc="1C090019" w:tentative="1">
      <w:start w:val="1"/>
      <w:numFmt w:val="lowerLetter"/>
      <w:lvlText w:val="%2."/>
      <w:lvlJc w:val="left"/>
      <w:pPr>
        <w:ind w:left="8452" w:hanging="360"/>
      </w:pPr>
    </w:lvl>
    <w:lvl w:ilvl="2" w:tplc="1C09001B" w:tentative="1">
      <w:start w:val="1"/>
      <w:numFmt w:val="lowerRoman"/>
      <w:lvlText w:val="%3."/>
      <w:lvlJc w:val="right"/>
      <w:pPr>
        <w:ind w:left="9172" w:hanging="180"/>
      </w:pPr>
    </w:lvl>
    <w:lvl w:ilvl="3" w:tplc="1C09000F" w:tentative="1">
      <w:start w:val="1"/>
      <w:numFmt w:val="decimal"/>
      <w:lvlText w:val="%4."/>
      <w:lvlJc w:val="left"/>
      <w:pPr>
        <w:ind w:left="9892" w:hanging="360"/>
      </w:pPr>
    </w:lvl>
    <w:lvl w:ilvl="4" w:tplc="1C090019" w:tentative="1">
      <w:start w:val="1"/>
      <w:numFmt w:val="lowerLetter"/>
      <w:lvlText w:val="%5."/>
      <w:lvlJc w:val="left"/>
      <w:pPr>
        <w:ind w:left="10612" w:hanging="360"/>
      </w:pPr>
    </w:lvl>
    <w:lvl w:ilvl="5" w:tplc="1C09001B" w:tentative="1">
      <w:start w:val="1"/>
      <w:numFmt w:val="lowerRoman"/>
      <w:lvlText w:val="%6."/>
      <w:lvlJc w:val="right"/>
      <w:pPr>
        <w:ind w:left="11332" w:hanging="180"/>
      </w:pPr>
    </w:lvl>
    <w:lvl w:ilvl="6" w:tplc="1C09000F" w:tentative="1">
      <w:start w:val="1"/>
      <w:numFmt w:val="decimal"/>
      <w:lvlText w:val="%7."/>
      <w:lvlJc w:val="left"/>
      <w:pPr>
        <w:ind w:left="12052" w:hanging="360"/>
      </w:pPr>
    </w:lvl>
    <w:lvl w:ilvl="7" w:tplc="1C090019" w:tentative="1">
      <w:start w:val="1"/>
      <w:numFmt w:val="lowerLetter"/>
      <w:lvlText w:val="%8."/>
      <w:lvlJc w:val="left"/>
      <w:pPr>
        <w:ind w:left="12772" w:hanging="360"/>
      </w:pPr>
    </w:lvl>
    <w:lvl w:ilvl="8" w:tplc="1C09001B" w:tentative="1">
      <w:start w:val="1"/>
      <w:numFmt w:val="lowerRoman"/>
      <w:lvlText w:val="%9."/>
      <w:lvlJc w:val="right"/>
      <w:pPr>
        <w:ind w:left="13492" w:hanging="180"/>
      </w:pPr>
    </w:lvl>
  </w:abstractNum>
  <w:abstractNum w:abstractNumId="14" w15:restartNumberingAfterBreak="0">
    <w:nsid w:val="529901C7"/>
    <w:multiLevelType w:val="hybridMultilevel"/>
    <w:tmpl w:val="B48CDED6"/>
    <w:lvl w:ilvl="0" w:tplc="5E02C8B0">
      <w:start w:val="1"/>
      <w:numFmt w:val="lowerRoman"/>
      <w:lvlText w:val="(%1)"/>
      <w:lvlJc w:val="left"/>
      <w:pPr>
        <w:ind w:left="1854" w:hanging="72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5" w15:restartNumberingAfterBreak="0">
    <w:nsid w:val="539F319D"/>
    <w:multiLevelType w:val="hybridMultilevel"/>
    <w:tmpl w:val="D5EEC0F8"/>
    <w:lvl w:ilvl="0" w:tplc="6E74B9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7675E2"/>
    <w:multiLevelType w:val="hybridMultilevel"/>
    <w:tmpl w:val="CA362A8C"/>
    <w:lvl w:ilvl="0" w:tplc="C3DA17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88E77F6"/>
    <w:multiLevelType w:val="hybridMultilevel"/>
    <w:tmpl w:val="B03A16DA"/>
    <w:lvl w:ilvl="0" w:tplc="571E779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9AF5DFD"/>
    <w:multiLevelType w:val="hybridMultilevel"/>
    <w:tmpl w:val="DDFCC54E"/>
    <w:lvl w:ilvl="0" w:tplc="DC960096">
      <w:start w:val="1"/>
      <w:numFmt w:val="lowerLetter"/>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0E7D68"/>
    <w:multiLevelType w:val="hybridMultilevel"/>
    <w:tmpl w:val="94B45284"/>
    <w:lvl w:ilvl="0" w:tplc="FFF4E0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D62AF"/>
    <w:multiLevelType w:val="hybridMultilevel"/>
    <w:tmpl w:val="573C13FE"/>
    <w:lvl w:ilvl="0" w:tplc="C6C2A04E">
      <w:start w:val="4"/>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1" w15:restartNumberingAfterBreak="0">
    <w:nsid w:val="623B431F"/>
    <w:multiLevelType w:val="hybridMultilevel"/>
    <w:tmpl w:val="A1F2589C"/>
    <w:lvl w:ilvl="0" w:tplc="8EF4B4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A004AF1"/>
    <w:multiLevelType w:val="hybridMultilevel"/>
    <w:tmpl w:val="69985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2"/>
  </w:num>
  <w:num w:numId="5">
    <w:abstractNumId w:val="19"/>
  </w:num>
  <w:num w:numId="6">
    <w:abstractNumId w:val="8"/>
  </w:num>
  <w:num w:numId="7">
    <w:abstractNumId w:val="18"/>
  </w:num>
  <w:num w:numId="8">
    <w:abstractNumId w:val="10"/>
  </w:num>
  <w:num w:numId="9">
    <w:abstractNumId w:val="1"/>
  </w:num>
  <w:num w:numId="10">
    <w:abstractNumId w:val="16"/>
  </w:num>
  <w:num w:numId="11">
    <w:abstractNumId w:val="15"/>
  </w:num>
  <w:num w:numId="12">
    <w:abstractNumId w:val="22"/>
  </w:num>
  <w:num w:numId="13">
    <w:abstractNumId w:val="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7"/>
  </w:num>
  <w:num w:numId="17">
    <w:abstractNumId w:val="11"/>
  </w:num>
  <w:num w:numId="18">
    <w:abstractNumId w:val="17"/>
  </w:num>
  <w:num w:numId="19">
    <w:abstractNumId w:val="9"/>
  </w:num>
  <w:num w:numId="20">
    <w:abstractNumId w:val="0"/>
  </w:num>
  <w:num w:numId="21">
    <w:abstractNumId w:val="14"/>
  </w:num>
  <w:num w:numId="22">
    <w:abstractNumId w:val="13"/>
  </w:num>
  <w:num w:numId="23">
    <w:abstractNumId w:val="2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004"/>
    <w:rsid w:val="00002695"/>
    <w:rsid w:val="000028DC"/>
    <w:rsid w:val="00005770"/>
    <w:rsid w:val="00006D9E"/>
    <w:rsid w:val="00007098"/>
    <w:rsid w:val="000073EC"/>
    <w:rsid w:val="00007E1D"/>
    <w:rsid w:val="00012406"/>
    <w:rsid w:val="00020256"/>
    <w:rsid w:val="00021E86"/>
    <w:rsid w:val="00031EDB"/>
    <w:rsid w:val="000323C1"/>
    <w:rsid w:val="0003599B"/>
    <w:rsid w:val="000374EC"/>
    <w:rsid w:val="00037F46"/>
    <w:rsid w:val="00037F50"/>
    <w:rsid w:val="00040D0B"/>
    <w:rsid w:val="00043737"/>
    <w:rsid w:val="00044D0B"/>
    <w:rsid w:val="00045B6D"/>
    <w:rsid w:val="00046CA0"/>
    <w:rsid w:val="00050F78"/>
    <w:rsid w:val="000544FA"/>
    <w:rsid w:val="00061064"/>
    <w:rsid w:val="00061A3A"/>
    <w:rsid w:val="00066165"/>
    <w:rsid w:val="0007214C"/>
    <w:rsid w:val="000765D1"/>
    <w:rsid w:val="00081C62"/>
    <w:rsid w:val="00082052"/>
    <w:rsid w:val="000831C5"/>
    <w:rsid w:val="00083D0B"/>
    <w:rsid w:val="000850BF"/>
    <w:rsid w:val="00086F90"/>
    <w:rsid w:val="000A2015"/>
    <w:rsid w:val="000A699A"/>
    <w:rsid w:val="000B1BA9"/>
    <w:rsid w:val="000B4048"/>
    <w:rsid w:val="000B40E8"/>
    <w:rsid w:val="000C2BCB"/>
    <w:rsid w:val="000C4D6C"/>
    <w:rsid w:val="000C6ABC"/>
    <w:rsid w:val="000D1B85"/>
    <w:rsid w:val="000D5544"/>
    <w:rsid w:val="000D5D6D"/>
    <w:rsid w:val="000E16E8"/>
    <w:rsid w:val="000E2AB5"/>
    <w:rsid w:val="000E3637"/>
    <w:rsid w:val="000E47EF"/>
    <w:rsid w:val="0010293F"/>
    <w:rsid w:val="00107639"/>
    <w:rsid w:val="0011091C"/>
    <w:rsid w:val="001121BF"/>
    <w:rsid w:val="00113E99"/>
    <w:rsid w:val="00114F00"/>
    <w:rsid w:val="00114F5C"/>
    <w:rsid w:val="001241DF"/>
    <w:rsid w:val="00126463"/>
    <w:rsid w:val="00127695"/>
    <w:rsid w:val="00130EDE"/>
    <w:rsid w:val="00132D4B"/>
    <w:rsid w:val="00135A09"/>
    <w:rsid w:val="00136D2F"/>
    <w:rsid w:val="00140FF5"/>
    <w:rsid w:val="001426A3"/>
    <w:rsid w:val="00145470"/>
    <w:rsid w:val="00145780"/>
    <w:rsid w:val="00151E35"/>
    <w:rsid w:val="00152C82"/>
    <w:rsid w:val="00155AE7"/>
    <w:rsid w:val="001661A2"/>
    <w:rsid w:val="001663AF"/>
    <w:rsid w:val="00166AF7"/>
    <w:rsid w:val="00167CB5"/>
    <w:rsid w:val="00173631"/>
    <w:rsid w:val="00174170"/>
    <w:rsid w:val="001767CE"/>
    <w:rsid w:val="00176A29"/>
    <w:rsid w:val="00180702"/>
    <w:rsid w:val="00181A5F"/>
    <w:rsid w:val="00182836"/>
    <w:rsid w:val="00187ED7"/>
    <w:rsid w:val="0019303F"/>
    <w:rsid w:val="00194A7D"/>
    <w:rsid w:val="001954B4"/>
    <w:rsid w:val="00195D83"/>
    <w:rsid w:val="001969AA"/>
    <w:rsid w:val="001A34D4"/>
    <w:rsid w:val="001A631C"/>
    <w:rsid w:val="001A6B08"/>
    <w:rsid w:val="001A76F1"/>
    <w:rsid w:val="001B1DC8"/>
    <w:rsid w:val="001B486A"/>
    <w:rsid w:val="001B4A66"/>
    <w:rsid w:val="001B4B37"/>
    <w:rsid w:val="001B52E9"/>
    <w:rsid w:val="001B6FDB"/>
    <w:rsid w:val="001C186D"/>
    <w:rsid w:val="001D2860"/>
    <w:rsid w:val="001D7B0B"/>
    <w:rsid w:val="001E08CB"/>
    <w:rsid w:val="001E1FC8"/>
    <w:rsid w:val="001E4003"/>
    <w:rsid w:val="001E5831"/>
    <w:rsid w:val="001E6AFA"/>
    <w:rsid w:val="001F0CA2"/>
    <w:rsid w:val="001F162F"/>
    <w:rsid w:val="001F4B01"/>
    <w:rsid w:val="0020312F"/>
    <w:rsid w:val="00205149"/>
    <w:rsid w:val="00211D6A"/>
    <w:rsid w:val="00214DC2"/>
    <w:rsid w:val="00220944"/>
    <w:rsid w:val="00222EB5"/>
    <w:rsid w:val="00223839"/>
    <w:rsid w:val="00224BD2"/>
    <w:rsid w:val="002252D4"/>
    <w:rsid w:val="00225D01"/>
    <w:rsid w:val="00230939"/>
    <w:rsid w:val="0023324B"/>
    <w:rsid w:val="0023342C"/>
    <w:rsid w:val="0024184B"/>
    <w:rsid w:val="00241B48"/>
    <w:rsid w:val="0024239F"/>
    <w:rsid w:val="0024428E"/>
    <w:rsid w:val="00244CAE"/>
    <w:rsid w:val="00245727"/>
    <w:rsid w:val="00247450"/>
    <w:rsid w:val="0025230A"/>
    <w:rsid w:val="00252F04"/>
    <w:rsid w:val="0026286A"/>
    <w:rsid w:val="002633FC"/>
    <w:rsid w:val="00267F13"/>
    <w:rsid w:val="00271772"/>
    <w:rsid w:val="00272EF0"/>
    <w:rsid w:val="002759E6"/>
    <w:rsid w:val="00276935"/>
    <w:rsid w:val="00280187"/>
    <w:rsid w:val="00282D8E"/>
    <w:rsid w:val="00285DF8"/>
    <w:rsid w:val="00290BE9"/>
    <w:rsid w:val="00291ED9"/>
    <w:rsid w:val="00292884"/>
    <w:rsid w:val="00296B5B"/>
    <w:rsid w:val="002976FF"/>
    <w:rsid w:val="002A32E9"/>
    <w:rsid w:val="002A470B"/>
    <w:rsid w:val="002B0495"/>
    <w:rsid w:val="002B3DDB"/>
    <w:rsid w:val="002B5BA2"/>
    <w:rsid w:val="002B63F3"/>
    <w:rsid w:val="002C2AC0"/>
    <w:rsid w:val="002C2E68"/>
    <w:rsid w:val="002C360C"/>
    <w:rsid w:val="002D0D67"/>
    <w:rsid w:val="002E02CF"/>
    <w:rsid w:val="002E089C"/>
    <w:rsid w:val="002E35B3"/>
    <w:rsid w:val="002E5085"/>
    <w:rsid w:val="002E693A"/>
    <w:rsid w:val="002F2699"/>
    <w:rsid w:val="002F37E9"/>
    <w:rsid w:val="002F593B"/>
    <w:rsid w:val="002F71EF"/>
    <w:rsid w:val="0030116A"/>
    <w:rsid w:val="00301AB8"/>
    <w:rsid w:val="00304543"/>
    <w:rsid w:val="00307318"/>
    <w:rsid w:val="00310D12"/>
    <w:rsid w:val="003116D8"/>
    <w:rsid w:val="00311755"/>
    <w:rsid w:val="00312D99"/>
    <w:rsid w:val="00316516"/>
    <w:rsid w:val="003173BC"/>
    <w:rsid w:val="00321DBD"/>
    <w:rsid w:val="00323EF4"/>
    <w:rsid w:val="00323FEA"/>
    <w:rsid w:val="00324FA7"/>
    <w:rsid w:val="00325697"/>
    <w:rsid w:val="00330797"/>
    <w:rsid w:val="0033555E"/>
    <w:rsid w:val="00335817"/>
    <w:rsid w:val="0033787C"/>
    <w:rsid w:val="003516DE"/>
    <w:rsid w:val="0035216B"/>
    <w:rsid w:val="003546F8"/>
    <w:rsid w:val="00355C9D"/>
    <w:rsid w:val="0035670A"/>
    <w:rsid w:val="003574DC"/>
    <w:rsid w:val="00357DB9"/>
    <w:rsid w:val="00361111"/>
    <w:rsid w:val="00365877"/>
    <w:rsid w:val="0037068E"/>
    <w:rsid w:val="00373F3E"/>
    <w:rsid w:val="00380A73"/>
    <w:rsid w:val="003844E4"/>
    <w:rsid w:val="00386D32"/>
    <w:rsid w:val="003953CB"/>
    <w:rsid w:val="00395A7C"/>
    <w:rsid w:val="00397EB0"/>
    <w:rsid w:val="003A2109"/>
    <w:rsid w:val="003A3533"/>
    <w:rsid w:val="003B3BF0"/>
    <w:rsid w:val="003C1FD4"/>
    <w:rsid w:val="003C2226"/>
    <w:rsid w:val="003C6114"/>
    <w:rsid w:val="003C7A27"/>
    <w:rsid w:val="003D2D82"/>
    <w:rsid w:val="003D6C70"/>
    <w:rsid w:val="003E42DA"/>
    <w:rsid w:val="003E5A0B"/>
    <w:rsid w:val="003F3491"/>
    <w:rsid w:val="003F5E4B"/>
    <w:rsid w:val="004013AC"/>
    <w:rsid w:val="0040360D"/>
    <w:rsid w:val="0041778D"/>
    <w:rsid w:val="004204C0"/>
    <w:rsid w:val="00421759"/>
    <w:rsid w:val="00422429"/>
    <w:rsid w:val="0042385C"/>
    <w:rsid w:val="00424DA7"/>
    <w:rsid w:val="00433D55"/>
    <w:rsid w:val="00434FBC"/>
    <w:rsid w:val="00436004"/>
    <w:rsid w:val="00440D25"/>
    <w:rsid w:val="004411E8"/>
    <w:rsid w:val="00441B92"/>
    <w:rsid w:val="00446F38"/>
    <w:rsid w:val="00452232"/>
    <w:rsid w:val="00452EBB"/>
    <w:rsid w:val="00453756"/>
    <w:rsid w:val="00466F9F"/>
    <w:rsid w:val="00471E19"/>
    <w:rsid w:val="00472C51"/>
    <w:rsid w:val="0047481F"/>
    <w:rsid w:val="0047567B"/>
    <w:rsid w:val="00482588"/>
    <w:rsid w:val="00484A31"/>
    <w:rsid w:val="00485702"/>
    <w:rsid w:val="00485FCC"/>
    <w:rsid w:val="00487DEA"/>
    <w:rsid w:val="00493664"/>
    <w:rsid w:val="00495D4F"/>
    <w:rsid w:val="0049630C"/>
    <w:rsid w:val="004973C1"/>
    <w:rsid w:val="004A15D8"/>
    <w:rsid w:val="004A5DCF"/>
    <w:rsid w:val="004A726C"/>
    <w:rsid w:val="004A736A"/>
    <w:rsid w:val="004B5D91"/>
    <w:rsid w:val="004D6AD1"/>
    <w:rsid w:val="004E0B4D"/>
    <w:rsid w:val="004E289E"/>
    <w:rsid w:val="004E4D20"/>
    <w:rsid w:val="004F00D9"/>
    <w:rsid w:val="004F0F95"/>
    <w:rsid w:val="004F6009"/>
    <w:rsid w:val="004F7A7A"/>
    <w:rsid w:val="00503BD1"/>
    <w:rsid w:val="00505392"/>
    <w:rsid w:val="00505CEA"/>
    <w:rsid w:val="00516561"/>
    <w:rsid w:val="0052439A"/>
    <w:rsid w:val="005250AC"/>
    <w:rsid w:val="005302A6"/>
    <w:rsid w:val="00530FD0"/>
    <w:rsid w:val="00532AEE"/>
    <w:rsid w:val="00532EEF"/>
    <w:rsid w:val="00536E30"/>
    <w:rsid w:val="00537BC8"/>
    <w:rsid w:val="005465B5"/>
    <w:rsid w:val="0054740C"/>
    <w:rsid w:val="00547D2D"/>
    <w:rsid w:val="0055169A"/>
    <w:rsid w:val="00553B63"/>
    <w:rsid w:val="00553C23"/>
    <w:rsid w:val="00553E9D"/>
    <w:rsid w:val="00555858"/>
    <w:rsid w:val="00556075"/>
    <w:rsid w:val="00560894"/>
    <w:rsid w:val="0056523B"/>
    <w:rsid w:val="00567004"/>
    <w:rsid w:val="00572B14"/>
    <w:rsid w:val="005734AB"/>
    <w:rsid w:val="00577A7E"/>
    <w:rsid w:val="005811F0"/>
    <w:rsid w:val="0058700F"/>
    <w:rsid w:val="00590F96"/>
    <w:rsid w:val="00594C2D"/>
    <w:rsid w:val="00596E36"/>
    <w:rsid w:val="005A202E"/>
    <w:rsid w:val="005B11ED"/>
    <w:rsid w:val="005B1768"/>
    <w:rsid w:val="005B2B2F"/>
    <w:rsid w:val="005B4732"/>
    <w:rsid w:val="005B5654"/>
    <w:rsid w:val="005B6E26"/>
    <w:rsid w:val="005C215F"/>
    <w:rsid w:val="005C37C5"/>
    <w:rsid w:val="005C72D5"/>
    <w:rsid w:val="005D0D4C"/>
    <w:rsid w:val="005D14E5"/>
    <w:rsid w:val="005E252C"/>
    <w:rsid w:val="005E608F"/>
    <w:rsid w:val="005E6731"/>
    <w:rsid w:val="005F17C0"/>
    <w:rsid w:val="005F21EB"/>
    <w:rsid w:val="005F4DCF"/>
    <w:rsid w:val="005F58CD"/>
    <w:rsid w:val="00601D11"/>
    <w:rsid w:val="00604B6E"/>
    <w:rsid w:val="00615DFB"/>
    <w:rsid w:val="00621C58"/>
    <w:rsid w:val="00624E11"/>
    <w:rsid w:val="00626ED6"/>
    <w:rsid w:val="006305E7"/>
    <w:rsid w:val="00632ED8"/>
    <w:rsid w:val="00633500"/>
    <w:rsid w:val="00634ABF"/>
    <w:rsid w:val="00641469"/>
    <w:rsid w:val="00645DE3"/>
    <w:rsid w:val="006543D5"/>
    <w:rsid w:val="00655A0A"/>
    <w:rsid w:val="00656FAB"/>
    <w:rsid w:val="00661B09"/>
    <w:rsid w:val="006637B3"/>
    <w:rsid w:val="00665D18"/>
    <w:rsid w:val="00666041"/>
    <w:rsid w:val="006666D4"/>
    <w:rsid w:val="00673465"/>
    <w:rsid w:val="006764A3"/>
    <w:rsid w:val="00684CCE"/>
    <w:rsid w:val="0068528F"/>
    <w:rsid w:val="00687A79"/>
    <w:rsid w:val="00691A79"/>
    <w:rsid w:val="006A4F4D"/>
    <w:rsid w:val="006B2E7A"/>
    <w:rsid w:val="006B7273"/>
    <w:rsid w:val="006B76B6"/>
    <w:rsid w:val="006C6616"/>
    <w:rsid w:val="006C686C"/>
    <w:rsid w:val="006D07BA"/>
    <w:rsid w:val="006D58CF"/>
    <w:rsid w:val="006D620C"/>
    <w:rsid w:val="006D6DE1"/>
    <w:rsid w:val="006F3D1A"/>
    <w:rsid w:val="006F45A9"/>
    <w:rsid w:val="006F5226"/>
    <w:rsid w:val="006F7158"/>
    <w:rsid w:val="006F7DB7"/>
    <w:rsid w:val="00700C91"/>
    <w:rsid w:val="00703A0D"/>
    <w:rsid w:val="00703F28"/>
    <w:rsid w:val="00711D58"/>
    <w:rsid w:val="00712116"/>
    <w:rsid w:val="00715CED"/>
    <w:rsid w:val="00715D41"/>
    <w:rsid w:val="0071717A"/>
    <w:rsid w:val="0072135C"/>
    <w:rsid w:val="00721C99"/>
    <w:rsid w:val="0072449D"/>
    <w:rsid w:val="007355DA"/>
    <w:rsid w:val="007356ED"/>
    <w:rsid w:val="00741F32"/>
    <w:rsid w:val="0075292B"/>
    <w:rsid w:val="00752967"/>
    <w:rsid w:val="007532AE"/>
    <w:rsid w:val="00753889"/>
    <w:rsid w:val="007606EB"/>
    <w:rsid w:val="00765740"/>
    <w:rsid w:val="007676D1"/>
    <w:rsid w:val="00771D54"/>
    <w:rsid w:val="007737EC"/>
    <w:rsid w:val="007757AB"/>
    <w:rsid w:val="00777B90"/>
    <w:rsid w:val="00777FCD"/>
    <w:rsid w:val="00780C32"/>
    <w:rsid w:val="00787883"/>
    <w:rsid w:val="00790DF2"/>
    <w:rsid w:val="00797293"/>
    <w:rsid w:val="007973AC"/>
    <w:rsid w:val="007A2421"/>
    <w:rsid w:val="007B3921"/>
    <w:rsid w:val="007B6B47"/>
    <w:rsid w:val="007C736D"/>
    <w:rsid w:val="007C7B93"/>
    <w:rsid w:val="007D3AF2"/>
    <w:rsid w:val="007D4D1F"/>
    <w:rsid w:val="007D53F2"/>
    <w:rsid w:val="007D5963"/>
    <w:rsid w:val="007E1973"/>
    <w:rsid w:val="007E4B92"/>
    <w:rsid w:val="007E5FA8"/>
    <w:rsid w:val="007E7C42"/>
    <w:rsid w:val="007F5101"/>
    <w:rsid w:val="007F680E"/>
    <w:rsid w:val="007F7FF8"/>
    <w:rsid w:val="00803885"/>
    <w:rsid w:val="00805A83"/>
    <w:rsid w:val="00807A2B"/>
    <w:rsid w:val="008109E6"/>
    <w:rsid w:val="00812D83"/>
    <w:rsid w:val="00813BFB"/>
    <w:rsid w:val="0082011B"/>
    <w:rsid w:val="008204A9"/>
    <w:rsid w:val="00822A17"/>
    <w:rsid w:val="00824731"/>
    <w:rsid w:val="00824C3C"/>
    <w:rsid w:val="00825DAF"/>
    <w:rsid w:val="008270AC"/>
    <w:rsid w:val="008345FC"/>
    <w:rsid w:val="008356D1"/>
    <w:rsid w:val="008365D1"/>
    <w:rsid w:val="00842D0E"/>
    <w:rsid w:val="0084455D"/>
    <w:rsid w:val="00845E53"/>
    <w:rsid w:val="008460D1"/>
    <w:rsid w:val="00851D64"/>
    <w:rsid w:val="0085264A"/>
    <w:rsid w:val="00852A68"/>
    <w:rsid w:val="008619A7"/>
    <w:rsid w:val="0086295C"/>
    <w:rsid w:val="0086397B"/>
    <w:rsid w:val="00867467"/>
    <w:rsid w:val="00870D42"/>
    <w:rsid w:val="00873BE7"/>
    <w:rsid w:val="00876166"/>
    <w:rsid w:val="0087752D"/>
    <w:rsid w:val="00881C87"/>
    <w:rsid w:val="008841F7"/>
    <w:rsid w:val="008871C8"/>
    <w:rsid w:val="00887E6D"/>
    <w:rsid w:val="00891AC1"/>
    <w:rsid w:val="008927AF"/>
    <w:rsid w:val="008942F3"/>
    <w:rsid w:val="008A07D5"/>
    <w:rsid w:val="008A1BDB"/>
    <w:rsid w:val="008A4342"/>
    <w:rsid w:val="008A43D8"/>
    <w:rsid w:val="008A7938"/>
    <w:rsid w:val="008B381B"/>
    <w:rsid w:val="008B6508"/>
    <w:rsid w:val="008B72D1"/>
    <w:rsid w:val="008B7534"/>
    <w:rsid w:val="008C1BB2"/>
    <w:rsid w:val="008C23FF"/>
    <w:rsid w:val="008C482A"/>
    <w:rsid w:val="008C70CE"/>
    <w:rsid w:val="008C7648"/>
    <w:rsid w:val="008C79F2"/>
    <w:rsid w:val="008D2B7D"/>
    <w:rsid w:val="008D575D"/>
    <w:rsid w:val="008E645C"/>
    <w:rsid w:val="008E7A81"/>
    <w:rsid w:val="008F1956"/>
    <w:rsid w:val="008F19D0"/>
    <w:rsid w:val="008F2D6C"/>
    <w:rsid w:val="008F5C7A"/>
    <w:rsid w:val="00902CBA"/>
    <w:rsid w:val="00903378"/>
    <w:rsid w:val="00903394"/>
    <w:rsid w:val="00906FC0"/>
    <w:rsid w:val="00910F1A"/>
    <w:rsid w:val="00912773"/>
    <w:rsid w:val="00912D75"/>
    <w:rsid w:val="009134AC"/>
    <w:rsid w:val="009153C1"/>
    <w:rsid w:val="0092039F"/>
    <w:rsid w:val="00924718"/>
    <w:rsid w:val="00927884"/>
    <w:rsid w:val="0093036E"/>
    <w:rsid w:val="00932E72"/>
    <w:rsid w:val="00945DA4"/>
    <w:rsid w:val="009509BB"/>
    <w:rsid w:val="009527C6"/>
    <w:rsid w:val="00952B4A"/>
    <w:rsid w:val="00953747"/>
    <w:rsid w:val="009555F3"/>
    <w:rsid w:val="009603A5"/>
    <w:rsid w:val="00961C4A"/>
    <w:rsid w:val="00962CBB"/>
    <w:rsid w:val="00965800"/>
    <w:rsid w:val="00971D02"/>
    <w:rsid w:val="00976185"/>
    <w:rsid w:val="00976A23"/>
    <w:rsid w:val="009776E4"/>
    <w:rsid w:val="0098240A"/>
    <w:rsid w:val="0098571D"/>
    <w:rsid w:val="009924B9"/>
    <w:rsid w:val="00992DA2"/>
    <w:rsid w:val="009A0570"/>
    <w:rsid w:val="009A1F62"/>
    <w:rsid w:val="009B4D57"/>
    <w:rsid w:val="009B6A19"/>
    <w:rsid w:val="009C190E"/>
    <w:rsid w:val="009C6102"/>
    <w:rsid w:val="009C68AF"/>
    <w:rsid w:val="009C7D06"/>
    <w:rsid w:val="009D0026"/>
    <w:rsid w:val="009D09ED"/>
    <w:rsid w:val="009D16A7"/>
    <w:rsid w:val="009D3FDF"/>
    <w:rsid w:val="009D50F4"/>
    <w:rsid w:val="009D7D18"/>
    <w:rsid w:val="009E137B"/>
    <w:rsid w:val="009E1CCB"/>
    <w:rsid w:val="009E2175"/>
    <w:rsid w:val="009E7180"/>
    <w:rsid w:val="009E74B7"/>
    <w:rsid w:val="009F0FFF"/>
    <w:rsid w:val="009F35E1"/>
    <w:rsid w:val="009F462B"/>
    <w:rsid w:val="009F4DD1"/>
    <w:rsid w:val="009F563C"/>
    <w:rsid w:val="009F78F6"/>
    <w:rsid w:val="00A01A67"/>
    <w:rsid w:val="00A13BBB"/>
    <w:rsid w:val="00A1405E"/>
    <w:rsid w:val="00A153A0"/>
    <w:rsid w:val="00A21B97"/>
    <w:rsid w:val="00A30CFA"/>
    <w:rsid w:val="00A32026"/>
    <w:rsid w:val="00A34BEA"/>
    <w:rsid w:val="00A34F0B"/>
    <w:rsid w:val="00A35019"/>
    <w:rsid w:val="00A375D5"/>
    <w:rsid w:val="00A44CF1"/>
    <w:rsid w:val="00A4632F"/>
    <w:rsid w:val="00A50017"/>
    <w:rsid w:val="00A512F4"/>
    <w:rsid w:val="00A520F0"/>
    <w:rsid w:val="00A53774"/>
    <w:rsid w:val="00A612BA"/>
    <w:rsid w:val="00A613AA"/>
    <w:rsid w:val="00A62D78"/>
    <w:rsid w:val="00A65343"/>
    <w:rsid w:val="00A702C7"/>
    <w:rsid w:val="00A71ABE"/>
    <w:rsid w:val="00A71E0F"/>
    <w:rsid w:val="00A71EE8"/>
    <w:rsid w:val="00A721DE"/>
    <w:rsid w:val="00A721F7"/>
    <w:rsid w:val="00A750F8"/>
    <w:rsid w:val="00A81181"/>
    <w:rsid w:val="00A83C12"/>
    <w:rsid w:val="00A83D5E"/>
    <w:rsid w:val="00A90491"/>
    <w:rsid w:val="00A93EBB"/>
    <w:rsid w:val="00A941BA"/>
    <w:rsid w:val="00AA7E61"/>
    <w:rsid w:val="00AB0C8D"/>
    <w:rsid w:val="00AB2112"/>
    <w:rsid w:val="00AB5A8D"/>
    <w:rsid w:val="00AB5CFA"/>
    <w:rsid w:val="00AB67C7"/>
    <w:rsid w:val="00AC177E"/>
    <w:rsid w:val="00AC6ADF"/>
    <w:rsid w:val="00AD12C6"/>
    <w:rsid w:val="00AD424B"/>
    <w:rsid w:val="00AD66F7"/>
    <w:rsid w:val="00AD7F9A"/>
    <w:rsid w:val="00AE0D21"/>
    <w:rsid w:val="00AE2A37"/>
    <w:rsid w:val="00AE6CCD"/>
    <w:rsid w:val="00AE7E62"/>
    <w:rsid w:val="00AF041B"/>
    <w:rsid w:val="00AF435D"/>
    <w:rsid w:val="00AF52C7"/>
    <w:rsid w:val="00AF5ABA"/>
    <w:rsid w:val="00AF5D33"/>
    <w:rsid w:val="00B03F37"/>
    <w:rsid w:val="00B10860"/>
    <w:rsid w:val="00B12688"/>
    <w:rsid w:val="00B1459F"/>
    <w:rsid w:val="00B14FB3"/>
    <w:rsid w:val="00B158F0"/>
    <w:rsid w:val="00B1770B"/>
    <w:rsid w:val="00B24B5B"/>
    <w:rsid w:val="00B2791A"/>
    <w:rsid w:val="00B27E8E"/>
    <w:rsid w:val="00B3251B"/>
    <w:rsid w:val="00B34398"/>
    <w:rsid w:val="00B36287"/>
    <w:rsid w:val="00B4280A"/>
    <w:rsid w:val="00B44518"/>
    <w:rsid w:val="00B46B43"/>
    <w:rsid w:val="00B5019B"/>
    <w:rsid w:val="00B5061D"/>
    <w:rsid w:val="00B52B65"/>
    <w:rsid w:val="00B554BF"/>
    <w:rsid w:val="00B61595"/>
    <w:rsid w:val="00B63B1D"/>
    <w:rsid w:val="00B64B6B"/>
    <w:rsid w:val="00B744A5"/>
    <w:rsid w:val="00B74AE9"/>
    <w:rsid w:val="00B75192"/>
    <w:rsid w:val="00B76574"/>
    <w:rsid w:val="00B80933"/>
    <w:rsid w:val="00B80CD9"/>
    <w:rsid w:val="00B828AB"/>
    <w:rsid w:val="00B864DB"/>
    <w:rsid w:val="00B93020"/>
    <w:rsid w:val="00BA4200"/>
    <w:rsid w:val="00BA59F8"/>
    <w:rsid w:val="00BB36FE"/>
    <w:rsid w:val="00BB393A"/>
    <w:rsid w:val="00BC1F80"/>
    <w:rsid w:val="00BC56B6"/>
    <w:rsid w:val="00BD2AC0"/>
    <w:rsid w:val="00BD6F3A"/>
    <w:rsid w:val="00BD7561"/>
    <w:rsid w:val="00BE2FDB"/>
    <w:rsid w:val="00BF056E"/>
    <w:rsid w:val="00BF0FEE"/>
    <w:rsid w:val="00BF1A90"/>
    <w:rsid w:val="00BF30B0"/>
    <w:rsid w:val="00BF30E3"/>
    <w:rsid w:val="00BF59F7"/>
    <w:rsid w:val="00BF79F5"/>
    <w:rsid w:val="00C0065A"/>
    <w:rsid w:val="00C01491"/>
    <w:rsid w:val="00C018C0"/>
    <w:rsid w:val="00C05AB2"/>
    <w:rsid w:val="00C10230"/>
    <w:rsid w:val="00C10605"/>
    <w:rsid w:val="00C10DC2"/>
    <w:rsid w:val="00C15857"/>
    <w:rsid w:val="00C15DB8"/>
    <w:rsid w:val="00C17121"/>
    <w:rsid w:val="00C174B9"/>
    <w:rsid w:val="00C20068"/>
    <w:rsid w:val="00C25118"/>
    <w:rsid w:val="00C33110"/>
    <w:rsid w:val="00C42AE3"/>
    <w:rsid w:val="00C43D3F"/>
    <w:rsid w:val="00C5163E"/>
    <w:rsid w:val="00C52A84"/>
    <w:rsid w:val="00C568ED"/>
    <w:rsid w:val="00C5702E"/>
    <w:rsid w:val="00C61F6A"/>
    <w:rsid w:val="00C629B3"/>
    <w:rsid w:val="00C63DA4"/>
    <w:rsid w:val="00C6416C"/>
    <w:rsid w:val="00C65C69"/>
    <w:rsid w:val="00C670F0"/>
    <w:rsid w:val="00C67249"/>
    <w:rsid w:val="00C7470C"/>
    <w:rsid w:val="00C81E2C"/>
    <w:rsid w:val="00C825D3"/>
    <w:rsid w:val="00C82810"/>
    <w:rsid w:val="00C850E3"/>
    <w:rsid w:val="00C874E4"/>
    <w:rsid w:val="00C90C11"/>
    <w:rsid w:val="00C920E9"/>
    <w:rsid w:val="00C93CC4"/>
    <w:rsid w:val="00C93D27"/>
    <w:rsid w:val="00C96ED5"/>
    <w:rsid w:val="00CA5592"/>
    <w:rsid w:val="00CB01C0"/>
    <w:rsid w:val="00CB3467"/>
    <w:rsid w:val="00CB489E"/>
    <w:rsid w:val="00CB54A5"/>
    <w:rsid w:val="00CB5FEC"/>
    <w:rsid w:val="00CC1E7A"/>
    <w:rsid w:val="00CC2E63"/>
    <w:rsid w:val="00CC467E"/>
    <w:rsid w:val="00CC6570"/>
    <w:rsid w:val="00CC6C8E"/>
    <w:rsid w:val="00CE0AB0"/>
    <w:rsid w:val="00CE3104"/>
    <w:rsid w:val="00CE40B9"/>
    <w:rsid w:val="00CE5FD4"/>
    <w:rsid w:val="00CE6BBD"/>
    <w:rsid w:val="00CF6778"/>
    <w:rsid w:val="00CF7061"/>
    <w:rsid w:val="00D00BC7"/>
    <w:rsid w:val="00D01090"/>
    <w:rsid w:val="00D11B0D"/>
    <w:rsid w:val="00D24172"/>
    <w:rsid w:val="00D268AB"/>
    <w:rsid w:val="00D30DE1"/>
    <w:rsid w:val="00D32ABE"/>
    <w:rsid w:val="00D40EAF"/>
    <w:rsid w:val="00D5041E"/>
    <w:rsid w:val="00D50642"/>
    <w:rsid w:val="00D5211E"/>
    <w:rsid w:val="00D54563"/>
    <w:rsid w:val="00D74084"/>
    <w:rsid w:val="00D74392"/>
    <w:rsid w:val="00D746B2"/>
    <w:rsid w:val="00D77C1F"/>
    <w:rsid w:val="00D80508"/>
    <w:rsid w:val="00D81018"/>
    <w:rsid w:val="00D83D18"/>
    <w:rsid w:val="00D84A0B"/>
    <w:rsid w:val="00D87546"/>
    <w:rsid w:val="00D87605"/>
    <w:rsid w:val="00D91EBF"/>
    <w:rsid w:val="00D93822"/>
    <w:rsid w:val="00D93886"/>
    <w:rsid w:val="00DA0B3A"/>
    <w:rsid w:val="00DA27C0"/>
    <w:rsid w:val="00DA43BD"/>
    <w:rsid w:val="00DA56B8"/>
    <w:rsid w:val="00DB58F1"/>
    <w:rsid w:val="00DC01A1"/>
    <w:rsid w:val="00DD0E0F"/>
    <w:rsid w:val="00DD577F"/>
    <w:rsid w:val="00DD67BE"/>
    <w:rsid w:val="00DD6850"/>
    <w:rsid w:val="00DD69C3"/>
    <w:rsid w:val="00DE08E7"/>
    <w:rsid w:val="00DE4E88"/>
    <w:rsid w:val="00DE6D75"/>
    <w:rsid w:val="00DF4EA7"/>
    <w:rsid w:val="00E0053F"/>
    <w:rsid w:val="00E0323E"/>
    <w:rsid w:val="00E06750"/>
    <w:rsid w:val="00E16EF7"/>
    <w:rsid w:val="00E17F1A"/>
    <w:rsid w:val="00E20925"/>
    <w:rsid w:val="00E24570"/>
    <w:rsid w:val="00E25B6B"/>
    <w:rsid w:val="00E33535"/>
    <w:rsid w:val="00E4286C"/>
    <w:rsid w:val="00E43B9D"/>
    <w:rsid w:val="00E4783F"/>
    <w:rsid w:val="00E53211"/>
    <w:rsid w:val="00E540E6"/>
    <w:rsid w:val="00E56651"/>
    <w:rsid w:val="00E60023"/>
    <w:rsid w:val="00E67F0A"/>
    <w:rsid w:val="00E74130"/>
    <w:rsid w:val="00E74A63"/>
    <w:rsid w:val="00E75EFD"/>
    <w:rsid w:val="00E81A47"/>
    <w:rsid w:val="00E8652A"/>
    <w:rsid w:val="00E86579"/>
    <w:rsid w:val="00E932BB"/>
    <w:rsid w:val="00E943A5"/>
    <w:rsid w:val="00E97C2F"/>
    <w:rsid w:val="00EA5960"/>
    <w:rsid w:val="00EA60D7"/>
    <w:rsid w:val="00EA6CBA"/>
    <w:rsid w:val="00EA6EE4"/>
    <w:rsid w:val="00EA71D4"/>
    <w:rsid w:val="00EB4602"/>
    <w:rsid w:val="00EB71E5"/>
    <w:rsid w:val="00EB7CD0"/>
    <w:rsid w:val="00EC0795"/>
    <w:rsid w:val="00EC73DC"/>
    <w:rsid w:val="00ED02A4"/>
    <w:rsid w:val="00ED0EBF"/>
    <w:rsid w:val="00ED3C6D"/>
    <w:rsid w:val="00ED61FF"/>
    <w:rsid w:val="00EE240F"/>
    <w:rsid w:val="00EF3F49"/>
    <w:rsid w:val="00EF494B"/>
    <w:rsid w:val="00EF5C90"/>
    <w:rsid w:val="00EF5FA2"/>
    <w:rsid w:val="00F0220F"/>
    <w:rsid w:val="00F02413"/>
    <w:rsid w:val="00F069E3"/>
    <w:rsid w:val="00F105F9"/>
    <w:rsid w:val="00F10FD1"/>
    <w:rsid w:val="00F12EC6"/>
    <w:rsid w:val="00F15315"/>
    <w:rsid w:val="00F21CDD"/>
    <w:rsid w:val="00F2395C"/>
    <w:rsid w:val="00F275E7"/>
    <w:rsid w:val="00F345D5"/>
    <w:rsid w:val="00F34AD5"/>
    <w:rsid w:val="00F36F7B"/>
    <w:rsid w:val="00F4464B"/>
    <w:rsid w:val="00F4537F"/>
    <w:rsid w:val="00F453D4"/>
    <w:rsid w:val="00F456EF"/>
    <w:rsid w:val="00F457D3"/>
    <w:rsid w:val="00F46370"/>
    <w:rsid w:val="00F46A7D"/>
    <w:rsid w:val="00F511E0"/>
    <w:rsid w:val="00F562B6"/>
    <w:rsid w:val="00F60C0F"/>
    <w:rsid w:val="00F61AD4"/>
    <w:rsid w:val="00F657F7"/>
    <w:rsid w:val="00F7109C"/>
    <w:rsid w:val="00F71660"/>
    <w:rsid w:val="00F733C8"/>
    <w:rsid w:val="00F74281"/>
    <w:rsid w:val="00F76343"/>
    <w:rsid w:val="00F80954"/>
    <w:rsid w:val="00F819A3"/>
    <w:rsid w:val="00F830DE"/>
    <w:rsid w:val="00F91E92"/>
    <w:rsid w:val="00F96381"/>
    <w:rsid w:val="00FA1F84"/>
    <w:rsid w:val="00FA369A"/>
    <w:rsid w:val="00FA3FE4"/>
    <w:rsid w:val="00FA5170"/>
    <w:rsid w:val="00FA7A59"/>
    <w:rsid w:val="00FB2E97"/>
    <w:rsid w:val="00FC1808"/>
    <w:rsid w:val="00FC1B02"/>
    <w:rsid w:val="00FC4C9E"/>
    <w:rsid w:val="00FC5BD4"/>
    <w:rsid w:val="00FD5F4A"/>
    <w:rsid w:val="00FE1800"/>
    <w:rsid w:val="00FE1812"/>
    <w:rsid w:val="00FE74C4"/>
    <w:rsid w:val="00FF49C0"/>
    <w:rsid w:val="00FF6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63A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527C6"/>
  </w:style>
  <w:style w:type="character" w:customStyle="1" w:styleId="FootnoteTextChar">
    <w:name w:val="Footnote Text Char"/>
    <w:basedOn w:val="DefaultParagraphFont"/>
    <w:link w:val="FootnoteText"/>
    <w:uiPriority w:val="99"/>
    <w:rsid w:val="009527C6"/>
  </w:style>
  <w:style w:type="character" w:styleId="FootnoteReference">
    <w:name w:val="footnote reference"/>
    <w:basedOn w:val="DefaultParagraphFont"/>
    <w:uiPriority w:val="99"/>
    <w:unhideWhenUsed/>
    <w:rsid w:val="009527C6"/>
    <w:rPr>
      <w:vertAlign w:val="superscript"/>
    </w:rPr>
  </w:style>
  <w:style w:type="paragraph" w:styleId="ListParagraph">
    <w:name w:val="List Paragraph"/>
    <w:basedOn w:val="Normal"/>
    <w:uiPriority w:val="34"/>
    <w:qFormat/>
    <w:rsid w:val="00932E72"/>
    <w:pPr>
      <w:ind w:left="720"/>
      <w:contextualSpacing/>
    </w:pPr>
  </w:style>
  <w:style w:type="paragraph" w:styleId="BalloonText">
    <w:name w:val="Balloon Text"/>
    <w:basedOn w:val="Normal"/>
    <w:link w:val="BalloonTextChar"/>
    <w:uiPriority w:val="99"/>
    <w:semiHidden/>
    <w:unhideWhenUsed/>
    <w:rsid w:val="006305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5E7"/>
    <w:rPr>
      <w:rFonts w:ascii="Segoe UI" w:hAnsi="Segoe UI" w:cs="Segoe UI"/>
      <w:sz w:val="18"/>
      <w:szCs w:val="18"/>
    </w:rPr>
  </w:style>
  <w:style w:type="paragraph" w:customStyle="1" w:styleId="MediumGrid21">
    <w:name w:val="Medium Grid 21"/>
    <w:uiPriority w:val="1"/>
    <w:qFormat/>
    <w:rsid w:val="0007214C"/>
    <w:rPr>
      <w:rFonts w:ascii="Calibri" w:eastAsia="Calibri" w:hAnsi="Calibri" w:cs="Times New Roman"/>
      <w:sz w:val="22"/>
      <w:szCs w:val="22"/>
      <w:lang w:val="en-ZA"/>
    </w:rPr>
  </w:style>
  <w:style w:type="paragraph" w:styleId="Header">
    <w:name w:val="header"/>
    <w:basedOn w:val="Normal"/>
    <w:link w:val="HeaderChar"/>
    <w:uiPriority w:val="99"/>
    <w:unhideWhenUsed/>
    <w:rsid w:val="00D01090"/>
    <w:pPr>
      <w:tabs>
        <w:tab w:val="center" w:pos="4513"/>
        <w:tab w:val="right" w:pos="9026"/>
      </w:tabs>
    </w:pPr>
  </w:style>
  <w:style w:type="character" w:customStyle="1" w:styleId="HeaderChar">
    <w:name w:val="Header Char"/>
    <w:basedOn w:val="DefaultParagraphFont"/>
    <w:link w:val="Header"/>
    <w:uiPriority w:val="99"/>
    <w:rsid w:val="00D01090"/>
  </w:style>
  <w:style w:type="paragraph" w:styleId="Footer">
    <w:name w:val="footer"/>
    <w:basedOn w:val="Normal"/>
    <w:link w:val="FooterChar"/>
    <w:uiPriority w:val="99"/>
    <w:unhideWhenUsed/>
    <w:rsid w:val="00D01090"/>
    <w:pPr>
      <w:tabs>
        <w:tab w:val="center" w:pos="4513"/>
        <w:tab w:val="right" w:pos="9026"/>
      </w:tabs>
    </w:pPr>
  </w:style>
  <w:style w:type="character" w:customStyle="1" w:styleId="FooterChar">
    <w:name w:val="Footer Char"/>
    <w:basedOn w:val="DefaultParagraphFont"/>
    <w:link w:val="Footer"/>
    <w:uiPriority w:val="99"/>
    <w:rsid w:val="00D01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A1502A0-B5FB-4030-A857-DB18DBBBF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3501</Words>
  <Characters>19959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damasbonsmara26@gmail.com</dc:creator>
  <cp:keywords/>
  <dc:description/>
  <cp:lastModifiedBy>Relebohile Sehapi</cp:lastModifiedBy>
  <cp:revision>7</cp:revision>
  <cp:lastPrinted>2020-05-27T11:50:00Z</cp:lastPrinted>
  <dcterms:created xsi:type="dcterms:W3CDTF">2020-05-29T13:05:00Z</dcterms:created>
  <dcterms:modified xsi:type="dcterms:W3CDTF">2020-06-18T10:40:00Z</dcterms:modified>
</cp:coreProperties>
</file>