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990AD" w14:textId="77777777" w:rsidR="005D5225" w:rsidRDefault="005D5225" w:rsidP="00321411">
      <w:pPr>
        <w:spacing w:line="360" w:lineRule="auto"/>
        <w:rPr>
          <w:rFonts w:ascii="Bookman Old Style" w:hAnsi="Bookman Old Style"/>
          <w:b/>
          <w:bCs/>
          <w:sz w:val="28"/>
          <w:szCs w:val="28"/>
        </w:rPr>
      </w:pPr>
    </w:p>
    <w:p w14:paraId="796CBE08" w14:textId="77777777" w:rsidR="004B5901" w:rsidRPr="004B5901" w:rsidRDefault="004B5901" w:rsidP="004B5901">
      <w:pPr>
        <w:spacing w:line="360" w:lineRule="auto"/>
        <w:jc w:val="center"/>
        <w:rPr>
          <w:rFonts w:ascii="Bookman Old Style" w:hAnsi="Bookman Old Style"/>
          <w:b/>
          <w:bCs/>
          <w:sz w:val="28"/>
          <w:szCs w:val="28"/>
        </w:rPr>
      </w:pPr>
      <w:r w:rsidRPr="004B5901">
        <w:rPr>
          <w:rFonts w:ascii="Bookman Old Style" w:hAnsi="Bookman Old Style"/>
          <w:b/>
          <w:bCs/>
          <w:sz w:val="28"/>
          <w:szCs w:val="28"/>
        </w:rPr>
        <w:t>IN THE COURT OF APPEAL OF LESOTHO</w:t>
      </w:r>
    </w:p>
    <w:p w14:paraId="5BC32D1E" w14:textId="264C5CD0" w:rsidR="004B5901" w:rsidRPr="004B5901" w:rsidRDefault="00683615" w:rsidP="004B5901">
      <w:pPr>
        <w:spacing w:line="360" w:lineRule="auto"/>
        <w:jc w:val="right"/>
        <w:rPr>
          <w:rFonts w:ascii="Bookman Old Style" w:hAnsi="Bookman Old Style"/>
          <w:b/>
          <w:bCs/>
          <w:sz w:val="28"/>
          <w:szCs w:val="28"/>
        </w:rPr>
      </w:pPr>
      <w:r>
        <w:rPr>
          <w:rFonts w:ascii="Bookman Old Style" w:hAnsi="Bookman Old Style"/>
          <w:b/>
          <w:bCs/>
          <w:sz w:val="28"/>
          <w:szCs w:val="28"/>
        </w:rPr>
        <w:t>C OF A (CIV) NO.</w:t>
      </w:r>
      <w:r w:rsidR="00995495">
        <w:rPr>
          <w:rFonts w:ascii="Bookman Old Style" w:hAnsi="Bookman Old Style"/>
          <w:b/>
          <w:bCs/>
          <w:sz w:val="28"/>
          <w:szCs w:val="28"/>
        </w:rPr>
        <w:t>44</w:t>
      </w:r>
      <w:r w:rsidR="004B5901" w:rsidRPr="004B5901">
        <w:rPr>
          <w:rFonts w:ascii="Bookman Old Style" w:hAnsi="Bookman Old Style"/>
          <w:b/>
          <w:bCs/>
          <w:sz w:val="28"/>
          <w:szCs w:val="28"/>
        </w:rPr>
        <w:t>/2019</w:t>
      </w:r>
    </w:p>
    <w:p w14:paraId="69A6CD9C" w14:textId="77777777" w:rsidR="004B5901" w:rsidRPr="004B5901" w:rsidRDefault="004B5901" w:rsidP="004B5901">
      <w:pPr>
        <w:spacing w:line="360" w:lineRule="auto"/>
        <w:jc w:val="both"/>
        <w:rPr>
          <w:rFonts w:ascii="Bookman Old Style" w:hAnsi="Bookman Old Style"/>
          <w:b/>
          <w:bCs/>
          <w:sz w:val="28"/>
          <w:szCs w:val="28"/>
        </w:rPr>
      </w:pPr>
      <w:r w:rsidRPr="004B5901">
        <w:rPr>
          <w:rFonts w:ascii="Bookman Old Style" w:hAnsi="Bookman Old Style"/>
          <w:b/>
          <w:bCs/>
          <w:sz w:val="28"/>
          <w:szCs w:val="28"/>
        </w:rPr>
        <w:t>HELD AT MASERU</w:t>
      </w:r>
      <w:r w:rsidRPr="004B5901">
        <w:rPr>
          <w:rFonts w:ascii="Arial" w:hAnsi="Arial" w:cs="Arial"/>
          <w:b/>
          <w:bCs/>
          <w:color w:val="333333"/>
          <w:sz w:val="23"/>
          <w:szCs w:val="23"/>
          <w:bdr w:val="none" w:sz="0" w:space="0" w:color="auto" w:frame="1"/>
          <w:shd w:val="clear" w:color="auto" w:fill="FFFFFF"/>
        </w:rPr>
        <w:t xml:space="preserve">                                      </w:t>
      </w:r>
    </w:p>
    <w:p w14:paraId="3F2AC139" w14:textId="77777777" w:rsidR="004B5901" w:rsidRPr="004B5901" w:rsidRDefault="004B5901" w:rsidP="004B5901">
      <w:pPr>
        <w:spacing w:line="360" w:lineRule="auto"/>
        <w:jc w:val="both"/>
        <w:rPr>
          <w:rFonts w:ascii="Bookman Old Style" w:hAnsi="Bookman Old Style"/>
          <w:bCs/>
          <w:sz w:val="28"/>
          <w:szCs w:val="28"/>
        </w:rPr>
      </w:pPr>
      <w:r w:rsidRPr="004B5901">
        <w:rPr>
          <w:rFonts w:ascii="Bookman Old Style" w:hAnsi="Bookman Old Style"/>
          <w:bCs/>
          <w:sz w:val="28"/>
          <w:szCs w:val="28"/>
        </w:rPr>
        <w:t>In the matter between:</w:t>
      </w:r>
    </w:p>
    <w:p w14:paraId="66438298" w14:textId="15F29CAF" w:rsidR="004B5901" w:rsidRDefault="00995495" w:rsidP="004B5901">
      <w:pPr>
        <w:spacing w:line="360" w:lineRule="auto"/>
        <w:jc w:val="both"/>
        <w:rPr>
          <w:rFonts w:ascii="Bookman Old Style" w:hAnsi="Bookman Old Style"/>
          <w:b/>
          <w:bCs/>
          <w:sz w:val="28"/>
          <w:szCs w:val="28"/>
        </w:rPr>
      </w:pPr>
      <w:r>
        <w:rPr>
          <w:rFonts w:ascii="Bookman Old Style" w:hAnsi="Bookman Old Style"/>
          <w:b/>
          <w:bCs/>
          <w:sz w:val="28"/>
          <w:szCs w:val="28"/>
        </w:rPr>
        <w:t>‘MASEETSA RAMARUMO</w:t>
      </w:r>
      <w:r w:rsidR="00683615">
        <w:rPr>
          <w:rFonts w:ascii="Bookman Old Style" w:hAnsi="Bookman Old Style"/>
          <w:b/>
          <w:bCs/>
          <w:sz w:val="28"/>
          <w:szCs w:val="28"/>
        </w:rPr>
        <w:t xml:space="preserve">           </w:t>
      </w:r>
      <w:r w:rsidR="009B4C45">
        <w:rPr>
          <w:rFonts w:ascii="Bookman Old Style" w:hAnsi="Bookman Old Style"/>
          <w:b/>
          <w:bCs/>
          <w:sz w:val="28"/>
          <w:szCs w:val="28"/>
        </w:rPr>
        <w:t xml:space="preserve">            </w:t>
      </w:r>
      <w:r>
        <w:rPr>
          <w:rFonts w:ascii="Bookman Old Style" w:hAnsi="Bookman Old Style"/>
          <w:b/>
          <w:bCs/>
          <w:sz w:val="28"/>
          <w:szCs w:val="28"/>
        </w:rPr>
        <w:t xml:space="preserve">    </w:t>
      </w:r>
      <w:r w:rsidR="009B4C45">
        <w:rPr>
          <w:rFonts w:ascii="Bookman Old Style" w:hAnsi="Bookman Old Style"/>
          <w:b/>
          <w:bCs/>
          <w:sz w:val="28"/>
          <w:szCs w:val="28"/>
        </w:rPr>
        <w:t xml:space="preserve"> </w:t>
      </w:r>
      <w:r>
        <w:rPr>
          <w:rFonts w:ascii="Bookman Old Style" w:hAnsi="Bookman Old Style"/>
          <w:b/>
          <w:bCs/>
          <w:sz w:val="28"/>
          <w:szCs w:val="28"/>
        </w:rPr>
        <w:t>FIRST</w:t>
      </w:r>
      <w:r w:rsidRPr="004B5901">
        <w:rPr>
          <w:rFonts w:ascii="Bookman Old Style" w:hAnsi="Bookman Old Style"/>
          <w:b/>
          <w:bCs/>
          <w:sz w:val="28"/>
          <w:szCs w:val="28"/>
        </w:rPr>
        <w:t> APPELLANT</w:t>
      </w:r>
    </w:p>
    <w:p w14:paraId="77479EFD" w14:textId="446D1DCD" w:rsidR="00995495" w:rsidRPr="004B5901" w:rsidRDefault="00995495" w:rsidP="004B5901">
      <w:pPr>
        <w:spacing w:line="360" w:lineRule="auto"/>
        <w:jc w:val="both"/>
        <w:rPr>
          <w:rFonts w:ascii="Bookman Old Style" w:hAnsi="Bookman Old Style"/>
          <w:bCs/>
          <w:sz w:val="28"/>
          <w:szCs w:val="28"/>
        </w:rPr>
      </w:pPr>
      <w:r>
        <w:rPr>
          <w:rFonts w:ascii="Bookman Old Style" w:hAnsi="Bookman Old Style"/>
          <w:b/>
          <w:bCs/>
          <w:sz w:val="28"/>
          <w:szCs w:val="28"/>
        </w:rPr>
        <w:t>SAKHU</w:t>
      </w:r>
      <w:r w:rsidRPr="00995495">
        <w:rPr>
          <w:rFonts w:ascii="Bookman Old Style" w:hAnsi="Bookman Old Style"/>
          <w:b/>
          <w:bCs/>
          <w:sz w:val="28"/>
          <w:szCs w:val="28"/>
        </w:rPr>
        <w:t xml:space="preserve"> RAMARUMO</w:t>
      </w:r>
      <w:r>
        <w:rPr>
          <w:rFonts w:ascii="Bookman Old Style" w:hAnsi="Bookman Old Style"/>
          <w:b/>
          <w:bCs/>
          <w:sz w:val="28"/>
          <w:szCs w:val="28"/>
        </w:rPr>
        <w:t xml:space="preserve">                                  SECOND</w:t>
      </w:r>
      <w:r w:rsidRPr="00995495">
        <w:rPr>
          <w:rFonts w:ascii="Bookman Old Style" w:hAnsi="Bookman Old Style"/>
          <w:b/>
          <w:bCs/>
          <w:sz w:val="28"/>
          <w:szCs w:val="28"/>
        </w:rPr>
        <w:t xml:space="preserve"> APPELLANT</w:t>
      </w:r>
    </w:p>
    <w:p w14:paraId="62C76A43" w14:textId="77777777" w:rsidR="004B5901" w:rsidRPr="004B5901" w:rsidRDefault="004B5901" w:rsidP="004B5901">
      <w:pPr>
        <w:spacing w:line="360" w:lineRule="auto"/>
        <w:jc w:val="both"/>
        <w:rPr>
          <w:rFonts w:ascii="Bookman Old Style" w:hAnsi="Bookman Old Style"/>
          <w:b/>
          <w:bCs/>
          <w:sz w:val="28"/>
          <w:szCs w:val="28"/>
        </w:rPr>
      </w:pPr>
      <w:r w:rsidRPr="004B5901">
        <w:rPr>
          <w:rFonts w:ascii="Bookman Old Style" w:hAnsi="Bookman Old Style"/>
          <w:b/>
          <w:bCs/>
          <w:sz w:val="28"/>
          <w:szCs w:val="28"/>
        </w:rPr>
        <w:t>And</w:t>
      </w:r>
    </w:p>
    <w:p w14:paraId="2BBD5C4E" w14:textId="79D26CCA" w:rsidR="004B5901" w:rsidRPr="004B5901" w:rsidRDefault="00995495" w:rsidP="00683615">
      <w:pPr>
        <w:spacing w:line="360" w:lineRule="auto"/>
        <w:jc w:val="both"/>
        <w:rPr>
          <w:rFonts w:ascii="Bookman Old Style" w:hAnsi="Bookman Old Style"/>
          <w:bCs/>
          <w:sz w:val="28"/>
          <w:szCs w:val="28"/>
        </w:rPr>
      </w:pPr>
      <w:r>
        <w:rPr>
          <w:rFonts w:ascii="Bookman Old Style" w:hAnsi="Bookman Old Style"/>
          <w:b/>
          <w:bCs/>
          <w:sz w:val="28"/>
          <w:szCs w:val="28"/>
        </w:rPr>
        <w:t>KHOTSO SELOMI</w:t>
      </w:r>
      <w:r w:rsidR="00683615">
        <w:rPr>
          <w:rFonts w:ascii="Bookman Old Style" w:hAnsi="Bookman Old Style"/>
          <w:b/>
          <w:bCs/>
          <w:sz w:val="28"/>
          <w:szCs w:val="28"/>
        </w:rPr>
        <w:t xml:space="preserve">               </w:t>
      </w:r>
      <w:r w:rsidR="009B4C45">
        <w:rPr>
          <w:rFonts w:ascii="Bookman Old Style" w:hAnsi="Bookman Old Style"/>
          <w:b/>
          <w:bCs/>
          <w:sz w:val="28"/>
          <w:szCs w:val="28"/>
        </w:rPr>
        <w:t xml:space="preserve">                         </w:t>
      </w:r>
      <w:r w:rsidR="00683615">
        <w:rPr>
          <w:rFonts w:ascii="Bookman Old Style" w:hAnsi="Bookman Old Style"/>
          <w:b/>
          <w:bCs/>
          <w:sz w:val="28"/>
          <w:szCs w:val="28"/>
        </w:rPr>
        <w:t xml:space="preserve">            </w:t>
      </w:r>
      <w:r w:rsidR="004B5901" w:rsidRPr="004B5901">
        <w:rPr>
          <w:rFonts w:ascii="Bookman Old Style" w:hAnsi="Bookman Old Style"/>
          <w:b/>
          <w:bCs/>
          <w:sz w:val="28"/>
          <w:szCs w:val="28"/>
        </w:rPr>
        <w:t xml:space="preserve"> RESPONDENT</w:t>
      </w:r>
    </w:p>
    <w:p w14:paraId="1A8AF115" w14:textId="77777777" w:rsidR="004B5901" w:rsidRPr="004B5901" w:rsidRDefault="004B5901" w:rsidP="004B5901">
      <w:pPr>
        <w:spacing w:line="360" w:lineRule="auto"/>
        <w:jc w:val="both"/>
        <w:rPr>
          <w:rFonts w:ascii="Bookman Old Style" w:hAnsi="Bookman Old Style"/>
          <w:bCs/>
          <w:sz w:val="28"/>
          <w:szCs w:val="28"/>
        </w:rPr>
      </w:pPr>
    </w:p>
    <w:p w14:paraId="5F4F76D0" w14:textId="6029ABED" w:rsidR="004B5901" w:rsidRPr="004B5901" w:rsidRDefault="004B5901" w:rsidP="004B5901">
      <w:pPr>
        <w:spacing w:line="360" w:lineRule="auto"/>
        <w:jc w:val="both"/>
        <w:rPr>
          <w:rFonts w:ascii="Bookman Old Style" w:hAnsi="Bookman Old Style"/>
          <w:bCs/>
          <w:sz w:val="28"/>
          <w:szCs w:val="28"/>
        </w:rPr>
      </w:pPr>
      <w:r w:rsidRPr="004B5901">
        <w:rPr>
          <w:rFonts w:ascii="Bookman Old Style" w:hAnsi="Bookman Old Style"/>
          <w:b/>
          <w:bCs/>
          <w:sz w:val="28"/>
          <w:szCs w:val="28"/>
        </w:rPr>
        <w:t>CORAM</w:t>
      </w:r>
      <w:r w:rsidRPr="004B5901">
        <w:rPr>
          <w:rFonts w:ascii="Bookman Old Style" w:hAnsi="Bookman Old Style"/>
          <w:bCs/>
          <w:sz w:val="28"/>
          <w:szCs w:val="28"/>
        </w:rPr>
        <w:t>:                  DR K E MOSITO P</w:t>
      </w:r>
    </w:p>
    <w:p w14:paraId="057B4B0B" w14:textId="09437DFF" w:rsidR="00B215CE" w:rsidRDefault="004B5901" w:rsidP="004B5901">
      <w:pPr>
        <w:spacing w:line="360" w:lineRule="auto"/>
        <w:jc w:val="both"/>
        <w:rPr>
          <w:rFonts w:ascii="Bookman Old Style" w:hAnsi="Bookman Old Style"/>
          <w:bCs/>
          <w:sz w:val="28"/>
          <w:szCs w:val="28"/>
        </w:rPr>
      </w:pPr>
      <w:r w:rsidRPr="004B5901">
        <w:rPr>
          <w:rFonts w:ascii="Bookman Old Style" w:hAnsi="Bookman Old Style"/>
          <w:bCs/>
          <w:sz w:val="28"/>
          <w:szCs w:val="28"/>
        </w:rPr>
        <w:t>                               </w:t>
      </w:r>
      <w:r w:rsidR="00683615">
        <w:rPr>
          <w:rFonts w:ascii="Bookman Old Style" w:hAnsi="Bookman Old Style"/>
          <w:bCs/>
          <w:sz w:val="28"/>
          <w:szCs w:val="28"/>
        </w:rPr>
        <w:t xml:space="preserve">P </w:t>
      </w:r>
      <w:r w:rsidR="00AC537C">
        <w:rPr>
          <w:rFonts w:ascii="Bookman Old Style" w:hAnsi="Bookman Old Style"/>
          <w:bCs/>
          <w:sz w:val="28"/>
          <w:szCs w:val="28"/>
        </w:rPr>
        <w:t xml:space="preserve">T </w:t>
      </w:r>
      <w:r w:rsidR="00A53612">
        <w:rPr>
          <w:rFonts w:ascii="Bookman Old Style" w:hAnsi="Bookman Old Style"/>
          <w:bCs/>
          <w:sz w:val="28"/>
          <w:szCs w:val="28"/>
        </w:rPr>
        <w:t>DAMASEB</w:t>
      </w:r>
      <w:r w:rsidR="00B340BB" w:rsidRPr="00B340BB">
        <w:rPr>
          <w:rFonts w:ascii="Bookman Old Style" w:hAnsi="Bookman Old Style"/>
          <w:bCs/>
          <w:sz w:val="28"/>
          <w:szCs w:val="28"/>
        </w:rPr>
        <w:t xml:space="preserve"> AJA</w:t>
      </w:r>
    </w:p>
    <w:p w14:paraId="068DEEA5" w14:textId="19BAE820" w:rsidR="004B5901" w:rsidRPr="004B5901" w:rsidRDefault="00B215CE" w:rsidP="00B215CE">
      <w:pPr>
        <w:spacing w:line="360" w:lineRule="auto"/>
        <w:ind w:left="2160"/>
        <w:jc w:val="both"/>
        <w:rPr>
          <w:rFonts w:ascii="Bookman Old Style" w:hAnsi="Bookman Old Style"/>
          <w:bCs/>
          <w:sz w:val="28"/>
          <w:szCs w:val="28"/>
        </w:rPr>
      </w:pPr>
      <w:r>
        <w:rPr>
          <w:rFonts w:ascii="Bookman Old Style" w:hAnsi="Bookman Old Style"/>
          <w:bCs/>
          <w:sz w:val="28"/>
          <w:szCs w:val="28"/>
        </w:rPr>
        <w:t xml:space="preserve">      </w:t>
      </w:r>
      <w:r w:rsidR="008E2485">
        <w:rPr>
          <w:rFonts w:ascii="Bookman Old Style" w:hAnsi="Bookman Old Style"/>
          <w:bCs/>
          <w:sz w:val="28"/>
          <w:szCs w:val="28"/>
        </w:rPr>
        <w:t xml:space="preserve"> </w:t>
      </w:r>
      <w:r w:rsidR="00A53612">
        <w:rPr>
          <w:rFonts w:ascii="Bookman Old Style" w:hAnsi="Bookman Old Style"/>
          <w:bCs/>
          <w:sz w:val="28"/>
          <w:szCs w:val="28"/>
        </w:rPr>
        <w:t>M H CHINHENGO</w:t>
      </w:r>
      <w:r w:rsidR="00A53612" w:rsidRPr="00A53612">
        <w:rPr>
          <w:rFonts w:ascii="Bookman Old Style" w:hAnsi="Bookman Old Style"/>
          <w:bCs/>
          <w:sz w:val="28"/>
          <w:szCs w:val="28"/>
        </w:rPr>
        <w:t xml:space="preserve"> AJA</w:t>
      </w:r>
    </w:p>
    <w:p w14:paraId="2EA7D4CB" w14:textId="77777777" w:rsidR="0073238C" w:rsidRDefault="0073238C" w:rsidP="004B5901">
      <w:pPr>
        <w:spacing w:line="360" w:lineRule="auto"/>
        <w:jc w:val="both"/>
        <w:rPr>
          <w:rFonts w:ascii="Bookman Old Style" w:hAnsi="Bookman Old Style"/>
          <w:b/>
          <w:bCs/>
          <w:sz w:val="28"/>
          <w:szCs w:val="28"/>
        </w:rPr>
      </w:pPr>
    </w:p>
    <w:p w14:paraId="01372308" w14:textId="617377B6" w:rsidR="004B5901" w:rsidRPr="004B5901" w:rsidRDefault="004B5901" w:rsidP="004B5901">
      <w:pPr>
        <w:spacing w:line="360" w:lineRule="auto"/>
        <w:jc w:val="both"/>
        <w:rPr>
          <w:rFonts w:ascii="Bookman Old Style" w:hAnsi="Bookman Old Style"/>
          <w:bCs/>
          <w:sz w:val="28"/>
          <w:szCs w:val="28"/>
        </w:rPr>
      </w:pPr>
      <w:r w:rsidRPr="004B5901">
        <w:rPr>
          <w:rFonts w:ascii="Bookman Old Style" w:hAnsi="Bookman Old Style"/>
          <w:b/>
          <w:bCs/>
          <w:sz w:val="28"/>
          <w:szCs w:val="28"/>
        </w:rPr>
        <w:t>HEARD:</w:t>
      </w:r>
      <w:r w:rsidRPr="004B5901">
        <w:rPr>
          <w:rFonts w:ascii="Bookman Old Style" w:hAnsi="Bookman Old Style"/>
          <w:bCs/>
          <w:sz w:val="28"/>
          <w:szCs w:val="28"/>
        </w:rPr>
        <w:t>                   1</w:t>
      </w:r>
      <w:r w:rsidR="00A53612">
        <w:rPr>
          <w:rFonts w:ascii="Bookman Old Style" w:hAnsi="Bookman Old Style"/>
          <w:bCs/>
          <w:sz w:val="28"/>
          <w:szCs w:val="28"/>
        </w:rPr>
        <w:t>4</w:t>
      </w:r>
      <w:r w:rsidRPr="004B5901">
        <w:rPr>
          <w:rFonts w:ascii="Bookman Old Style" w:hAnsi="Bookman Old Style"/>
          <w:bCs/>
          <w:sz w:val="28"/>
          <w:szCs w:val="28"/>
        </w:rPr>
        <w:t xml:space="preserve"> MAY 2020</w:t>
      </w:r>
    </w:p>
    <w:p w14:paraId="3B479823" w14:textId="77777777" w:rsidR="004B5901" w:rsidRPr="004B5901" w:rsidRDefault="004B5901" w:rsidP="004B5901">
      <w:pPr>
        <w:spacing w:line="360" w:lineRule="auto"/>
        <w:jc w:val="both"/>
        <w:rPr>
          <w:rFonts w:ascii="Bookman Old Style" w:hAnsi="Bookman Old Style"/>
          <w:bCs/>
          <w:sz w:val="28"/>
          <w:szCs w:val="28"/>
        </w:rPr>
      </w:pPr>
      <w:r w:rsidRPr="004B5901">
        <w:rPr>
          <w:rFonts w:ascii="Bookman Old Style" w:hAnsi="Bookman Old Style"/>
          <w:b/>
          <w:bCs/>
          <w:sz w:val="28"/>
          <w:szCs w:val="28"/>
        </w:rPr>
        <w:t>DELIVERED:</w:t>
      </w:r>
      <w:r w:rsidRPr="004B5901">
        <w:rPr>
          <w:rFonts w:ascii="Bookman Old Style" w:hAnsi="Bookman Old Style"/>
          <w:bCs/>
          <w:sz w:val="28"/>
          <w:szCs w:val="28"/>
        </w:rPr>
        <w:t>           29 MAY 2020</w:t>
      </w:r>
    </w:p>
    <w:p w14:paraId="3267D065" w14:textId="77777777" w:rsidR="008E2485" w:rsidRDefault="008E2485" w:rsidP="004B5901">
      <w:pPr>
        <w:spacing w:line="360" w:lineRule="auto"/>
        <w:jc w:val="center"/>
        <w:rPr>
          <w:rFonts w:ascii="Bookman Old Style" w:hAnsi="Bookman Old Style"/>
          <w:b/>
          <w:bCs/>
          <w:sz w:val="28"/>
          <w:szCs w:val="28"/>
        </w:rPr>
      </w:pPr>
      <w:bookmarkStart w:id="0" w:name="_GoBack"/>
      <w:bookmarkEnd w:id="0"/>
    </w:p>
    <w:p w14:paraId="44A45354" w14:textId="77777777" w:rsidR="004B5901" w:rsidRPr="004B5901" w:rsidRDefault="004B5901" w:rsidP="004B5901">
      <w:pPr>
        <w:spacing w:line="360" w:lineRule="auto"/>
        <w:jc w:val="center"/>
        <w:rPr>
          <w:rFonts w:ascii="Bookman Old Style" w:hAnsi="Bookman Old Style"/>
          <w:bCs/>
          <w:sz w:val="28"/>
          <w:szCs w:val="28"/>
        </w:rPr>
      </w:pPr>
      <w:r w:rsidRPr="004B5901">
        <w:rPr>
          <w:rFonts w:ascii="Bookman Old Style" w:hAnsi="Bookman Old Style"/>
          <w:b/>
          <w:bCs/>
          <w:sz w:val="28"/>
          <w:szCs w:val="28"/>
        </w:rPr>
        <w:t>SUMMARY</w:t>
      </w:r>
    </w:p>
    <w:p w14:paraId="023B9AA9" w14:textId="07554249" w:rsidR="009E6B5F" w:rsidRDefault="009E6B5F" w:rsidP="008E2485">
      <w:pPr>
        <w:spacing w:line="360" w:lineRule="auto"/>
        <w:jc w:val="both"/>
        <w:rPr>
          <w:rFonts w:ascii="Bookman Old Style" w:hAnsi="Bookman Old Style"/>
          <w:bCs/>
          <w:i/>
          <w:iCs/>
          <w:sz w:val="28"/>
          <w:szCs w:val="28"/>
        </w:rPr>
      </w:pPr>
      <w:r w:rsidRPr="009E6B5F">
        <w:rPr>
          <w:rFonts w:ascii="Bookman Old Style" w:hAnsi="Bookman Old Style"/>
          <w:bCs/>
          <w:i/>
          <w:iCs/>
          <w:sz w:val="28"/>
          <w:szCs w:val="28"/>
        </w:rPr>
        <w:t>Practice -</w:t>
      </w:r>
      <w:r w:rsidR="007637EE" w:rsidRPr="007637EE">
        <w:rPr>
          <w:rFonts w:ascii="Bookman Old Style" w:hAnsi="Bookman Old Style"/>
          <w:sz w:val="28"/>
          <w:szCs w:val="28"/>
        </w:rPr>
        <w:t xml:space="preserve"> </w:t>
      </w:r>
      <w:r w:rsidR="00F33501">
        <w:rPr>
          <w:rFonts w:ascii="Bookman Old Style" w:hAnsi="Bookman Old Style"/>
          <w:bCs/>
          <w:i/>
          <w:iCs/>
          <w:sz w:val="28"/>
          <w:szCs w:val="28"/>
        </w:rPr>
        <w:t>S</w:t>
      </w:r>
      <w:r w:rsidR="007637EE" w:rsidRPr="007637EE">
        <w:rPr>
          <w:rFonts w:ascii="Bookman Old Style" w:hAnsi="Bookman Old Style"/>
          <w:bCs/>
          <w:i/>
          <w:iCs/>
          <w:sz w:val="28"/>
          <w:szCs w:val="28"/>
        </w:rPr>
        <w:t>ection 6 of the High Court Act</w:t>
      </w:r>
      <w:r w:rsidR="007637EE">
        <w:rPr>
          <w:rFonts w:ascii="Bookman Old Style" w:hAnsi="Bookman Old Style"/>
          <w:bCs/>
          <w:i/>
          <w:iCs/>
          <w:sz w:val="28"/>
          <w:szCs w:val="28"/>
        </w:rPr>
        <w:t xml:space="preserve"> - Jurisdiction</w:t>
      </w:r>
      <w:r w:rsidR="00075B95">
        <w:rPr>
          <w:rFonts w:ascii="Bookman Old Style" w:hAnsi="Bookman Old Style"/>
          <w:bCs/>
          <w:i/>
          <w:iCs/>
          <w:sz w:val="28"/>
          <w:szCs w:val="28"/>
        </w:rPr>
        <w:t xml:space="preserve"> of the High </w:t>
      </w:r>
      <w:proofErr w:type="gramStart"/>
      <w:r w:rsidR="00075B95">
        <w:rPr>
          <w:rFonts w:ascii="Bookman Old Style" w:hAnsi="Bookman Old Style"/>
          <w:bCs/>
          <w:i/>
          <w:iCs/>
          <w:sz w:val="28"/>
          <w:szCs w:val="28"/>
        </w:rPr>
        <w:t xml:space="preserve">Court </w:t>
      </w:r>
      <w:r w:rsidR="007637EE">
        <w:rPr>
          <w:rFonts w:ascii="Bookman Old Style" w:hAnsi="Bookman Old Style"/>
          <w:bCs/>
          <w:i/>
          <w:iCs/>
          <w:sz w:val="28"/>
          <w:szCs w:val="28"/>
        </w:rPr>
        <w:t xml:space="preserve"> </w:t>
      </w:r>
      <w:r w:rsidR="00433F7F">
        <w:rPr>
          <w:rFonts w:ascii="Bookman Old Style" w:hAnsi="Bookman Old Style"/>
          <w:bCs/>
          <w:i/>
          <w:iCs/>
          <w:sz w:val="28"/>
          <w:szCs w:val="28"/>
        </w:rPr>
        <w:t>–</w:t>
      </w:r>
      <w:proofErr w:type="gramEnd"/>
      <w:r w:rsidRPr="009E6B5F">
        <w:rPr>
          <w:rFonts w:ascii="Bookman Old Style" w:hAnsi="Bookman Old Style"/>
          <w:bCs/>
          <w:i/>
          <w:iCs/>
          <w:sz w:val="28"/>
          <w:szCs w:val="28"/>
        </w:rPr>
        <w:t xml:space="preserve"> </w:t>
      </w:r>
      <w:r w:rsidR="00433F7F">
        <w:rPr>
          <w:rFonts w:ascii="Bookman Old Style" w:hAnsi="Bookman Old Style"/>
          <w:bCs/>
          <w:i/>
          <w:iCs/>
          <w:sz w:val="28"/>
          <w:szCs w:val="28"/>
        </w:rPr>
        <w:t>Appeal upheld with costs.</w:t>
      </w:r>
      <w:r w:rsidRPr="009E6B5F">
        <w:rPr>
          <w:rFonts w:ascii="Bookman Old Style" w:hAnsi="Bookman Old Style"/>
          <w:bCs/>
          <w:i/>
          <w:iCs/>
          <w:sz w:val="28"/>
          <w:szCs w:val="28"/>
        </w:rPr>
        <w:t xml:space="preserve"> </w:t>
      </w:r>
    </w:p>
    <w:p w14:paraId="7FCF5CBA" w14:textId="77777777" w:rsidR="008E2485" w:rsidRDefault="008E2485" w:rsidP="004B5901">
      <w:pPr>
        <w:spacing w:line="360" w:lineRule="auto"/>
        <w:jc w:val="center"/>
        <w:rPr>
          <w:rFonts w:ascii="Bookman Old Style" w:hAnsi="Bookman Old Style"/>
          <w:b/>
          <w:bCs/>
          <w:sz w:val="28"/>
          <w:szCs w:val="28"/>
        </w:rPr>
      </w:pPr>
    </w:p>
    <w:p w14:paraId="7B789F38" w14:textId="43A8EE61" w:rsidR="004B5901" w:rsidRPr="004B5901" w:rsidRDefault="004B5901" w:rsidP="004B5901">
      <w:pPr>
        <w:spacing w:line="360" w:lineRule="auto"/>
        <w:jc w:val="center"/>
        <w:rPr>
          <w:rFonts w:ascii="Bookman Old Style" w:hAnsi="Bookman Old Style"/>
          <w:bCs/>
          <w:sz w:val="28"/>
          <w:szCs w:val="28"/>
        </w:rPr>
      </w:pPr>
      <w:r w:rsidRPr="004B5901">
        <w:rPr>
          <w:rFonts w:ascii="Bookman Old Style" w:hAnsi="Bookman Old Style"/>
          <w:b/>
          <w:bCs/>
          <w:sz w:val="28"/>
          <w:szCs w:val="28"/>
        </w:rPr>
        <w:t>JUDGMENT</w:t>
      </w:r>
    </w:p>
    <w:p w14:paraId="5D81242C" w14:textId="77777777" w:rsidR="004B5901" w:rsidRPr="004B5901" w:rsidRDefault="004B5901" w:rsidP="004B5901">
      <w:pPr>
        <w:spacing w:line="360" w:lineRule="auto"/>
        <w:jc w:val="both"/>
        <w:rPr>
          <w:rFonts w:ascii="Bookman Old Style" w:hAnsi="Bookman Old Style"/>
          <w:b/>
          <w:bCs/>
          <w:sz w:val="28"/>
          <w:szCs w:val="28"/>
        </w:rPr>
      </w:pPr>
      <w:r w:rsidRPr="004B5901">
        <w:rPr>
          <w:rFonts w:ascii="Bookman Old Style" w:hAnsi="Bookman Old Style"/>
          <w:b/>
          <w:bCs/>
          <w:sz w:val="28"/>
          <w:szCs w:val="28"/>
        </w:rPr>
        <w:lastRenderedPageBreak/>
        <w:t>K E MOSITO P</w:t>
      </w:r>
    </w:p>
    <w:p w14:paraId="3E559D80" w14:textId="7AFD7AF9" w:rsidR="004B5901" w:rsidRPr="004B5901" w:rsidRDefault="00F42622" w:rsidP="004B5901">
      <w:pPr>
        <w:spacing w:line="360" w:lineRule="auto"/>
        <w:jc w:val="both"/>
        <w:rPr>
          <w:rFonts w:ascii="Bookman Old Style" w:hAnsi="Bookman Old Style"/>
          <w:sz w:val="28"/>
          <w:szCs w:val="28"/>
        </w:rPr>
      </w:pPr>
      <w:r>
        <w:rPr>
          <w:rFonts w:ascii="Bookman Old Style" w:hAnsi="Bookman Old Style"/>
          <w:b/>
          <w:bCs/>
          <w:sz w:val="28"/>
          <w:szCs w:val="28"/>
        </w:rPr>
        <w:t>Background</w:t>
      </w:r>
    </w:p>
    <w:p w14:paraId="384CF39A" w14:textId="2CCCE23F" w:rsidR="0096669C" w:rsidRDefault="00683615" w:rsidP="00653E0F">
      <w:pPr>
        <w:numPr>
          <w:ilvl w:val="0"/>
          <w:numId w:val="4"/>
        </w:numPr>
        <w:spacing w:line="360" w:lineRule="auto"/>
        <w:contextualSpacing/>
        <w:jc w:val="both"/>
        <w:rPr>
          <w:rFonts w:ascii="Bookman Old Style" w:hAnsi="Bookman Old Style"/>
          <w:sz w:val="28"/>
          <w:szCs w:val="28"/>
        </w:rPr>
      </w:pPr>
      <w:r>
        <w:rPr>
          <w:rFonts w:ascii="Bookman Old Style" w:hAnsi="Bookman Old Style"/>
          <w:sz w:val="28"/>
          <w:szCs w:val="28"/>
        </w:rPr>
        <w:t xml:space="preserve">This is an appeal against the </w:t>
      </w:r>
      <w:r w:rsidR="0096669C">
        <w:rPr>
          <w:rFonts w:ascii="Bookman Old Style" w:hAnsi="Bookman Old Style"/>
          <w:sz w:val="28"/>
          <w:szCs w:val="28"/>
        </w:rPr>
        <w:t xml:space="preserve">order of the High Court </w:t>
      </w:r>
      <w:proofErr w:type="gramStart"/>
      <w:r w:rsidR="0096669C">
        <w:rPr>
          <w:rFonts w:ascii="Bookman Old Style" w:hAnsi="Bookman Old Style"/>
          <w:sz w:val="28"/>
          <w:szCs w:val="28"/>
        </w:rPr>
        <w:t>(</w:t>
      </w:r>
      <w:r w:rsidR="0083648F">
        <w:rPr>
          <w:rFonts w:ascii="Bookman Old Style" w:hAnsi="Bookman Old Style"/>
          <w:sz w:val="28"/>
          <w:szCs w:val="28"/>
        </w:rPr>
        <w:t xml:space="preserve"> </w:t>
      </w:r>
      <w:proofErr w:type="spellStart"/>
      <w:r w:rsidR="0083648F">
        <w:rPr>
          <w:rFonts w:ascii="Bookman Old Style" w:hAnsi="Bookman Old Style"/>
          <w:sz w:val="28"/>
          <w:szCs w:val="28"/>
        </w:rPr>
        <w:t>Monapathi</w:t>
      </w:r>
      <w:proofErr w:type="spellEnd"/>
      <w:proofErr w:type="gramEnd"/>
      <w:r w:rsidR="0096669C">
        <w:rPr>
          <w:rFonts w:ascii="Bookman Old Style" w:hAnsi="Bookman Old Style"/>
          <w:sz w:val="28"/>
          <w:szCs w:val="28"/>
        </w:rPr>
        <w:t xml:space="preserve"> J) handed down on </w:t>
      </w:r>
      <w:r w:rsidR="0083648F">
        <w:rPr>
          <w:rFonts w:ascii="Bookman Old Style" w:hAnsi="Bookman Old Style"/>
          <w:sz w:val="28"/>
          <w:szCs w:val="28"/>
        </w:rPr>
        <w:t>19 August 2019</w:t>
      </w:r>
      <w:r w:rsidR="0096669C">
        <w:rPr>
          <w:rFonts w:ascii="Bookman Old Style" w:hAnsi="Bookman Old Style"/>
          <w:sz w:val="28"/>
          <w:szCs w:val="28"/>
        </w:rPr>
        <w:t>. The respondent</w:t>
      </w:r>
      <w:r w:rsidR="005B1A35">
        <w:rPr>
          <w:rFonts w:ascii="Bookman Old Style" w:hAnsi="Bookman Old Style"/>
          <w:sz w:val="28"/>
          <w:szCs w:val="28"/>
        </w:rPr>
        <w:t xml:space="preserve"> approached the High Court </w:t>
      </w:r>
      <w:r w:rsidR="0096669C">
        <w:rPr>
          <w:rFonts w:ascii="Bookman Old Style" w:hAnsi="Bookman Old Style"/>
          <w:sz w:val="28"/>
          <w:szCs w:val="28"/>
        </w:rPr>
        <w:t xml:space="preserve">by </w:t>
      </w:r>
      <w:r w:rsidR="0083648F">
        <w:rPr>
          <w:rFonts w:ascii="Bookman Old Style" w:hAnsi="Bookman Old Style"/>
          <w:sz w:val="28"/>
          <w:szCs w:val="28"/>
        </w:rPr>
        <w:t xml:space="preserve">way of </w:t>
      </w:r>
      <w:r w:rsidR="0096669C">
        <w:rPr>
          <w:rFonts w:ascii="Bookman Old Style" w:hAnsi="Bookman Old Style"/>
          <w:sz w:val="28"/>
          <w:szCs w:val="28"/>
        </w:rPr>
        <w:t xml:space="preserve">summons </w:t>
      </w:r>
      <w:r w:rsidR="005B1A35">
        <w:rPr>
          <w:rFonts w:ascii="Bookman Old Style" w:hAnsi="Bookman Old Style"/>
          <w:sz w:val="28"/>
          <w:szCs w:val="28"/>
        </w:rPr>
        <w:t xml:space="preserve">on </w:t>
      </w:r>
      <w:r w:rsidR="0083648F">
        <w:rPr>
          <w:rFonts w:ascii="Bookman Old Style" w:hAnsi="Bookman Old Style"/>
          <w:sz w:val="28"/>
          <w:szCs w:val="28"/>
        </w:rPr>
        <w:t xml:space="preserve">11 June </w:t>
      </w:r>
      <w:r w:rsidR="007637EE">
        <w:rPr>
          <w:rFonts w:ascii="Bookman Old Style" w:hAnsi="Bookman Old Style"/>
          <w:sz w:val="28"/>
          <w:szCs w:val="28"/>
        </w:rPr>
        <w:t xml:space="preserve">2018. </w:t>
      </w:r>
      <w:r w:rsidR="0096669C">
        <w:rPr>
          <w:rFonts w:ascii="Bookman Old Style" w:hAnsi="Bookman Old Style"/>
          <w:sz w:val="28"/>
          <w:szCs w:val="28"/>
        </w:rPr>
        <w:t>The claim was for an order in the following terms:</w:t>
      </w:r>
    </w:p>
    <w:p w14:paraId="235711F8" w14:textId="4783E195" w:rsidR="0096669C" w:rsidRDefault="0096669C" w:rsidP="00755DCF">
      <w:pPr>
        <w:pStyle w:val="ListParagraph"/>
        <w:numPr>
          <w:ilvl w:val="0"/>
          <w:numId w:val="14"/>
        </w:numPr>
        <w:spacing w:line="360" w:lineRule="auto"/>
        <w:ind w:left="1134"/>
        <w:jc w:val="both"/>
        <w:rPr>
          <w:rFonts w:ascii="Bookman Old Style" w:hAnsi="Bookman Old Style"/>
          <w:sz w:val="28"/>
          <w:szCs w:val="28"/>
        </w:rPr>
      </w:pPr>
      <w:r>
        <w:rPr>
          <w:rFonts w:ascii="Bookman Old Style" w:hAnsi="Bookman Old Style"/>
          <w:sz w:val="28"/>
          <w:szCs w:val="28"/>
        </w:rPr>
        <w:t xml:space="preserve"> </w:t>
      </w:r>
      <w:r w:rsidR="001A0769">
        <w:rPr>
          <w:rFonts w:ascii="Bookman Old Style" w:hAnsi="Bookman Old Style"/>
          <w:sz w:val="28"/>
          <w:szCs w:val="28"/>
        </w:rPr>
        <w:t xml:space="preserve">Payment in the sum of thirty thousand </w:t>
      </w:r>
      <w:proofErr w:type="spellStart"/>
      <w:r w:rsidR="001A0769">
        <w:rPr>
          <w:rFonts w:ascii="Bookman Old Style" w:hAnsi="Bookman Old Style"/>
          <w:sz w:val="28"/>
          <w:szCs w:val="28"/>
        </w:rPr>
        <w:t>Maluti</w:t>
      </w:r>
      <w:proofErr w:type="spellEnd"/>
      <w:r w:rsidR="001A0769">
        <w:rPr>
          <w:rFonts w:ascii="Bookman Old Style" w:hAnsi="Bookman Old Style"/>
          <w:sz w:val="28"/>
          <w:szCs w:val="28"/>
        </w:rPr>
        <w:t xml:space="preserve"> (30,000.00) as per the parties</w:t>
      </w:r>
      <w:r w:rsidR="00AC537C">
        <w:rPr>
          <w:rFonts w:ascii="Bookman Old Style" w:hAnsi="Bookman Old Style"/>
          <w:sz w:val="28"/>
          <w:szCs w:val="28"/>
        </w:rPr>
        <w:t>’</w:t>
      </w:r>
      <w:r w:rsidR="001A0769">
        <w:rPr>
          <w:rFonts w:ascii="Bookman Old Style" w:hAnsi="Bookman Old Style"/>
          <w:sz w:val="28"/>
          <w:szCs w:val="28"/>
        </w:rPr>
        <w:t xml:space="preserve"> agreement dated 3 October 2017.</w:t>
      </w:r>
      <w:r>
        <w:rPr>
          <w:rFonts w:ascii="Bookman Old Style" w:hAnsi="Bookman Old Style"/>
          <w:sz w:val="28"/>
          <w:szCs w:val="28"/>
        </w:rPr>
        <w:t xml:space="preserve"> </w:t>
      </w:r>
    </w:p>
    <w:p w14:paraId="093F250E" w14:textId="77E88392" w:rsidR="007E799F" w:rsidRDefault="001A0769" w:rsidP="00755DCF">
      <w:pPr>
        <w:pStyle w:val="ListParagraph"/>
        <w:numPr>
          <w:ilvl w:val="0"/>
          <w:numId w:val="14"/>
        </w:numPr>
        <w:spacing w:line="360" w:lineRule="auto"/>
        <w:ind w:left="1134"/>
        <w:jc w:val="both"/>
        <w:rPr>
          <w:rFonts w:ascii="Bookman Old Style" w:hAnsi="Bookman Old Style"/>
          <w:sz w:val="28"/>
          <w:szCs w:val="28"/>
        </w:rPr>
      </w:pPr>
      <w:r>
        <w:rPr>
          <w:rFonts w:ascii="Bookman Old Style" w:hAnsi="Bookman Old Style"/>
          <w:sz w:val="28"/>
          <w:szCs w:val="28"/>
        </w:rPr>
        <w:t>Interest thereon at the rate of 18.1% per annum.</w:t>
      </w:r>
    </w:p>
    <w:p w14:paraId="6BD265E5" w14:textId="0051498D" w:rsidR="00AA32A7" w:rsidRDefault="007E799F" w:rsidP="00755DCF">
      <w:pPr>
        <w:pStyle w:val="ListParagraph"/>
        <w:numPr>
          <w:ilvl w:val="0"/>
          <w:numId w:val="14"/>
        </w:numPr>
        <w:spacing w:line="360" w:lineRule="auto"/>
        <w:ind w:left="1134"/>
        <w:jc w:val="both"/>
        <w:rPr>
          <w:rFonts w:ascii="Bookman Old Style" w:hAnsi="Bookman Old Style"/>
          <w:sz w:val="28"/>
          <w:szCs w:val="28"/>
        </w:rPr>
      </w:pPr>
      <w:r>
        <w:rPr>
          <w:rFonts w:ascii="Bookman Old Style" w:hAnsi="Bookman Old Style"/>
          <w:sz w:val="28"/>
          <w:szCs w:val="28"/>
        </w:rPr>
        <w:t xml:space="preserve"> </w:t>
      </w:r>
      <w:r w:rsidR="001A0769">
        <w:rPr>
          <w:rFonts w:ascii="Bookman Old Style" w:hAnsi="Bookman Old Style"/>
          <w:sz w:val="28"/>
          <w:szCs w:val="28"/>
        </w:rPr>
        <w:t>Costs of suit on attorney and client scale</w:t>
      </w:r>
      <w:r w:rsidR="008E49EE">
        <w:rPr>
          <w:rFonts w:ascii="Bookman Old Style" w:hAnsi="Bookman Old Style"/>
          <w:sz w:val="28"/>
          <w:szCs w:val="28"/>
        </w:rPr>
        <w:t>.</w:t>
      </w:r>
      <w:r w:rsidR="001A0769">
        <w:rPr>
          <w:rFonts w:ascii="Bookman Old Style" w:hAnsi="Bookman Old Style"/>
          <w:sz w:val="28"/>
          <w:szCs w:val="28"/>
        </w:rPr>
        <w:t xml:space="preserve"> </w:t>
      </w:r>
    </w:p>
    <w:p w14:paraId="308598FF" w14:textId="4B1D322F" w:rsidR="001A0769" w:rsidRPr="001A0769" w:rsidRDefault="001A0769" w:rsidP="00755DCF">
      <w:pPr>
        <w:pStyle w:val="ListParagraph"/>
        <w:numPr>
          <w:ilvl w:val="0"/>
          <w:numId w:val="14"/>
        </w:numPr>
        <w:spacing w:line="360" w:lineRule="auto"/>
        <w:ind w:left="1134"/>
        <w:jc w:val="both"/>
        <w:rPr>
          <w:rFonts w:ascii="Bookman Old Style" w:hAnsi="Bookman Old Style"/>
          <w:sz w:val="28"/>
          <w:szCs w:val="28"/>
        </w:rPr>
      </w:pPr>
      <w:r>
        <w:rPr>
          <w:rFonts w:ascii="Bookman Old Style" w:hAnsi="Bookman Old Style"/>
          <w:sz w:val="28"/>
          <w:szCs w:val="28"/>
        </w:rPr>
        <w:t>Further and</w:t>
      </w:r>
      <w:r w:rsidR="008E49EE">
        <w:rPr>
          <w:rFonts w:ascii="Bookman Old Style" w:hAnsi="Bookman Old Style"/>
          <w:sz w:val="28"/>
          <w:szCs w:val="28"/>
        </w:rPr>
        <w:t>/or</w:t>
      </w:r>
      <w:r>
        <w:rPr>
          <w:rFonts w:ascii="Bookman Old Style" w:hAnsi="Bookman Old Style"/>
          <w:sz w:val="28"/>
          <w:szCs w:val="28"/>
        </w:rPr>
        <w:t xml:space="preserve"> alternative relief</w:t>
      </w:r>
      <w:r w:rsidR="008E49EE">
        <w:rPr>
          <w:rFonts w:ascii="Bookman Old Style" w:hAnsi="Bookman Old Style"/>
          <w:sz w:val="28"/>
          <w:szCs w:val="28"/>
        </w:rPr>
        <w:t>.</w:t>
      </w:r>
    </w:p>
    <w:p w14:paraId="161A1B4F" w14:textId="64E379D6" w:rsidR="0096669C" w:rsidRPr="001A0769" w:rsidRDefault="00AA32A7" w:rsidP="00755DCF">
      <w:pPr>
        <w:pStyle w:val="ListParagraph"/>
        <w:spacing w:line="360" w:lineRule="auto"/>
        <w:ind w:left="1134"/>
        <w:jc w:val="both"/>
        <w:rPr>
          <w:rFonts w:ascii="Bookman Old Style" w:hAnsi="Bookman Old Style"/>
          <w:i/>
          <w:sz w:val="28"/>
          <w:szCs w:val="28"/>
        </w:rPr>
      </w:pPr>
      <w:r w:rsidRPr="00AA32A7">
        <w:rPr>
          <w:rFonts w:ascii="Bookman Old Style" w:hAnsi="Bookman Old Style"/>
          <w:i/>
          <w:sz w:val="28"/>
          <w:szCs w:val="28"/>
        </w:rPr>
        <w:t>Alternatively</w:t>
      </w:r>
    </w:p>
    <w:p w14:paraId="7F7997E4" w14:textId="77777777" w:rsidR="008E49EE" w:rsidRDefault="001A0769" w:rsidP="00755DCF">
      <w:pPr>
        <w:pStyle w:val="ListParagraph"/>
        <w:numPr>
          <w:ilvl w:val="0"/>
          <w:numId w:val="15"/>
        </w:numPr>
        <w:spacing w:line="360" w:lineRule="auto"/>
        <w:ind w:left="1134"/>
        <w:jc w:val="both"/>
        <w:rPr>
          <w:rFonts w:ascii="Bookman Old Style" w:hAnsi="Bookman Old Style"/>
          <w:sz w:val="28"/>
          <w:szCs w:val="28"/>
        </w:rPr>
      </w:pPr>
      <w:r>
        <w:rPr>
          <w:rFonts w:ascii="Bookman Old Style" w:hAnsi="Bookman Old Style"/>
          <w:sz w:val="28"/>
          <w:szCs w:val="28"/>
        </w:rPr>
        <w:t>Payment of thirty (30) sheep as per the parties’ agreements dated 03 October 2017</w:t>
      </w:r>
      <w:r w:rsidR="008E49EE">
        <w:rPr>
          <w:rFonts w:ascii="Bookman Old Style" w:hAnsi="Bookman Old Style"/>
          <w:sz w:val="28"/>
          <w:szCs w:val="28"/>
        </w:rPr>
        <w:t>.</w:t>
      </w:r>
    </w:p>
    <w:p w14:paraId="7755345E" w14:textId="2D16471D" w:rsidR="00AA32A7" w:rsidRDefault="001A0769" w:rsidP="00755DCF">
      <w:pPr>
        <w:pStyle w:val="ListParagraph"/>
        <w:numPr>
          <w:ilvl w:val="0"/>
          <w:numId w:val="15"/>
        </w:numPr>
        <w:spacing w:line="360" w:lineRule="auto"/>
        <w:ind w:left="1134"/>
        <w:jc w:val="both"/>
        <w:rPr>
          <w:rFonts w:ascii="Bookman Old Style" w:hAnsi="Bookman Old Style"/>
          <w:sz w:val="28"/>
          <w:szCs w:val="28"/>
        </w:rPr>
      </w:pPr>
      <w:r>
        <w:rPr>
          <w:rFonts w:ascii="Bookman Old Style" w:hAnsi="Bookman Old Style"/>
          <w:sz w:val="28"/>
          <w:szCs w:val="28"/>
        </w:rPr>
        <w:t xml:space="preserve"> </w:t>
      </w:r>
      <w:r w:rsidR="008E49EE">
        <w:rPr>
          <w:rFonts w:ascii="Bookman Old Style" w:hAnsi="Bookman Old Style"/>
          <w:sz w:val="28"/>
          <w:szCs w:val="28"/>
        </w:rPr>
        <w:t>Costs of suit on attorney and client scale.</w:t>
      </w:r>
    </w:p>
    <w:p w14:paraId="396BABF3" w14:textId="1ECADF31" w:rsidR="008E49EE" w:rsidRDefault="008E49EE" w:rsidP="00755DCF">
      <w:pPr>
        <w:pStyle w:val="ListParagraph"/>
        <w:numPr>
          <w:ilvl w:val="0"/>
          <w:numId w:val="15"/>
        </w:numPr>
        <w:spacing w:line="360" w:lineRule="auto"/>
        <w:ind w:left="1134"/>
        <w:jc w:val="both"/>
        <w:rPr>
          <w:rFonts w:ascii="Bookman Old Style" w:hAnsi="Bookman Old Style"/>
          <w:sz w:val="28"/>
          <w:szCs w:val="28"/>
        </w:rPr>
      </w:pPr>
      <w:r>
        <w:rPr>
          <w:rFonts w:ascii="Bookman Old Style" w:hAnsi="Bookman Old Style"/>
          <w:sz w:val="28"/>
          <w:szCs w:val="28"/>
        </w:rPr>
        <w:t>Further and/or alternative relief.</w:t>
      </w:r>
    </w:p>
    <w:p w14:paraId="67E10FA0" w14:textId="57FF9FA7" w:rsidR="008E49EE" w:rsidRDefault="008E49EE" w:rsidP="00755DCF">
      <w:pPr>
        <w:pStyle w:val="ListParagraph"/>
        <w:spacing w:line="360" w:lineRule="auto"/>
        <w:ind w:left="1134"/>
        <w:jc w:val="both"/>
        <w:rPr>
          <w:rFonts w:ascii="Bookman Old Style" w:hAnsi="Bookman Old Style"/>
          <w:i/>
          <w:sz w:val="28"/>
          <w:szCs w:val="28"/>
        </w:rPr>
      </w:pPr>
      <w:r>
        <w:rPr>
          <w:rFonts w:ascii="Bookman Old Style" w:hAnsi="Bookman Old Style"/>
          <w:i/>
          <w:sz w:val="28"/>
          <w:szCs w:val="28"/>
        </w:rPr>
        <w:t>Alternatively</w:t>
      </w:r>
    </w:p>
    <w:p w14:paraId="40214923" w14:textId="474283BD" w:rsidR="008E49EE" w:rsidRDefault="008E49EE" w:rsidP="00755DCF">
      <w:pPr>
        <w:pStyle w:val="ListParagraph"/>
        <w:numPr>
          <w:ilvl w:val="0"/>
          <w:numId w:val="19"/>
        </w:numPr>
        <w:spacing w:line="360" w:lineRule="auto"/>
        <w:ind w:left="1134"/>
        <w:jc w:val="both"/>
        <w:rPr>
          <w:rFonts w:ascii="Bookman Old Style" w:hAnsi="Bookman Old Style"/>
          <w:sz w:val="28"/>
          <w:szCs w:val="28"/>
        </w:rPr>
      </w:pPr>
      <w:r>
        <w:rPr>
          <w:rFonts w:ascii="Bookman Old Style" w:hAnsi="Bookman Old Style"/>
          <w:sz w:val="28"/>
          <w:szCs w:val="28"/>
        </w:rPr>
        <w:t>Payment of Thirty-six (36) goats as per the parties’ agreement dated 03 October 2017.</w:t>
      </w:r>
    </w:p>
    <w:p w14:paraId="39713672" w14:textId="5EEEE9CB" w:rsidR="008E49EE" w:rsidRDefault="008E49EE" w:rsidP="00755DCF">
      <w:pPr>
        <w:pStyle w:val="ListParagraph"/>
        <w:numPr>
          <w:ilvl w:val="0"/>
          <w:numId w:val="19"/>
        </w:numPr>
        <w:spacing w:line="360" w:lineRule="auto"/>
        <w:ind w:left="1134"/>
        <w:jc w:val="both"/>
        <w:rPr>
          <w:rFonts w:ascii="Bookman Old Style" w:hAnsi="Bookman Old Style"/>
          <w:sz w:val="28"/>
          <w:szCs w:val="28"/>
        </w:rPr>
      </w:pPr>
      <w:r>
        <w:rPr>
          <w:rFonts w:ascii="Bookman Old Style" w:hAnsi="Bookman Old Style"/>
          <w:sz w:val="28"/>
          <w:szCs w:val="28"/>
        </w:rPr>
        <w:t>Costs of suit on attorney and client scale.</w:t>
      </w:r>
    </w:p>
    <w:p w14:paraId="5DC4B8B5" w14:textId="2B53EFE7" w:rsidR="008E49EE" w:rsidRDefault="008E49EE" w:rsidP="00755DCF">
      <w:pPr>
        <w:pStyle w:val="ListParagraph"/>
        <w:numPr>
          <w:ilvl w:val="0"/>
          <w:numId w:val="19"/>
        </w:numPr>
        <w:spacing w:line="360" w:lineRule="auto"/>
        <w:ind w:left="1134"/>
        <w:jc w:val="both"/>
        <w:rPr>
          <w:rFonts w:ascii="Bookman Old Style" w:hAnsi="Bookman Old Style"/>
          <w:sz w:val="28"/>
          <w:szCs w:val="28"/>
        </w:rPr>
      </w:pPr>
      <w:r>
        <w:rPr>
          <w:rFonts w:ascii="Bookman Old Style" w:hAnsi="Bookman Old Style"/>
          <w:sz w:val="28"/>
          <w:szCs w:val="28"/>
        </w:rPr>
        <w:t>Further and/or alternative relief.</w:t>
      </w:r>
    </w:p>
    <w:p w14:paraId="0E8BFC1F" w14:textId="77777777" w:rsidR="008E49EE" w:rsidRPr="008E49EE" w:rsidRDefault="008E49EE" w:rsidP="008E49EE">
      <w:pPr>
        <w:spacing w:line="360" w:lineRule="auto"/>
        <w:jc w:val="both"/>
        <w:rPr>
          <w:rFonts w:ascii="Bookman Old Style" w:hAnsi="Bookman Old Style"/>
          <w:sz w:val="28"/>
          <w:szCs w:val="28"/>
        </w:rPr>
      </w:pPr>
    </w:p>
    <w:p w14:paraId="1C0D3378" w14:textId="30D18DFF" w:rsidR="002D1843" w:rsidRDefault="002D1843" w:rsidP="00653E0F">
      <w:pPr>
        <w:numPr>
          <w:ilvl w:val="0"/>
          <w:numId w:val="4"/>
        </w:numPr>
        <w:spacing w:line="360" w:lineRule="auto"/>
        <w:contextualSpacing/>
        <w:jc w:val="both"/>
        <w:rPr>
          <w:rFonts w:ascii="Bookman Old Style" w:hAnsi="Bookman Old Style"/>
          <w:sz w:val="28"/>
          <w:szCs w:val="28"/>
        </w:rPr>
      </w:pPr>
      <w:r>
        <w:rPr>
          <w:rFonts w:ascii="Bookman Old Style" w:hAnsi="Bookman Old Style"/>
          <w:sz w:val="28"/>
          <w:szCs w:val="28"/>
        </w:rPr>
        <w:t xml:space="preserve"> </w:t>
      </w:r>
      <w:r w:rsidR="008E49EE">
        <w:rPr>
          <w:rFonts w:ascii="Bookman Old Style" w:hAnsi="Bookman Old Style"/>
          <w:sz w:val="28"/>
          <w:szCs w:val="28"/>
        </w:rPr>
        <w:t>The defend</w:t>
      </w:r>
      <w:r w:rsidR="00081E60">
        <w:rPr>
          <w:rFonts w:ascii="Bookman Old Style" w:hAnsi="Bookman Old Style"/>
          <w:sz w:val="28"/>
          <w:szCs w:val="28"/>
        </w:rPr>
        <w:t>ant filed</w:t>
      </w:r>
      <w:r w:rsidR="008E49EE">
        <w:rPr>
          <w:rFonts w:ascii="Bookman Old Style" w:hAnsi="Bookman Old Style"/>
          <w:sz w:val="28"/>
          <w:szCs w:val="28"/>
        </w:rPr>
        <w:t xml:space="preserve"> a notice of appearance to defend. On 17 August 2018, the plaintiff (present respondent) filed an application for summary judgment. He sought an order in the following terms:</w:t>
      </w:r>
    </w:p>
    <w:p w14:paraId="6BF2EFBD" w14:textId="118628A5" w:rsidR="008E49EE" w:rsidRDefault="008E49EE" w:rsidP="008E49EE">
      <w:pPr>
        <w:pStyle w:val="ListParagraph"/>
        <w:numPr>
          <w:ilvl w:val="0"/>
          <w:numId w:val="20"/>
        </w:numPr>
        <w:spacing w:line="360" w:lineRule="auto"/>
        <w:jc w:val="both"/>
        <w:rPr>
          <w:rFonts w:ascii="Bookman Old Style" w:hAnsi="Bookman Old Style"/>
          <w:sz w:val="28"/>
          <w:szCs w:val="28"/>
        </w:rPr>
      </w:pPr>
      <w:r>
        <w:rPr>
          <w:rFonts w:ascii="Bookman Old Style" w:hAnsi="Bookman Old Style"/>
          <w:sz w:val="28"/>
          <w:szCs w:val="28"/>
        </w:rPr>
        <w:lastRenderedPageBreak/>
        <w:t xml:space="preserve">That summary judgment be granted against the </w:t>
      </w:r>
      <w:r w:rsidR="003509ED">
        <w:rPr>
          <w:rFonts w:ascii="Bookman Old Style" w:hAnsi="Bookman Old Style"/>
          <w:sz w:val="28"/>
          <w:szCs w:val="28"/>
        </w:rPr>
        <w:t>appellant</w:t>
      </w:r>
      <w:r>
        <w:rPr>
          <w:rFonts w:ascii="Bookman Old Style" w:hAnsi="Bookman Old Style"/>
          <w:sz w:val="28"/>
          <w:szCs w:val="28"/>
        </w:rPr>
        <w:t>s in terms of the summons.</w:t>
      </w:r>
    </w:p>
    <w:p w14:paraId="38151F05" w14:textId="0D153A19" w:rsidR="008E49EE" w:rsidRDefault="008E49EE" w:rsidP="008E49EE">
      <w:pPr>
        <w:pStyle w:val="ListParagraph"/>
        <w:numPr>
          <w:ilvl w:val="0"/>
          <w:numId w:val="20"/>
        </w:numPr>
        <w:spacing w:line="360" w:lineRule="auto"/>
        <w:jc w:val="both"/>
        <w:rPr>
          <w:rFonts w:ascii="Bookman Old Style" w:hAnsi="Bookman Old Style"/>
          <w:sz w:val="28"/>
          <w:szCs w:val="28"/>
        </w:rPr>
      </w:pPr>
      <w:r>
        <w:rPr>
          <w:rFonts w:ascii="Bookman Old Style" w:hAnsi="Bookman Old Style"/>
          <w:sz w:val="28"/>
          <w:szCs w:val="28"/>
        </w:rPr>
        <w:t>That the defendants be ordered to pay the costs of the application.</w:t>
      </w:r>
    </w:p>
    <w:p w14:paraId="02629964" w14:textId="6D33B414" w:rsidR="008E49EE" w:rsidRPr="008E49EE" w:rsidRDefault="008E49EE" w:rsidP="008E49EE">
      <w:pPr>
        <w:pStyle w:val="ListParagraph"/>
        <w:numPr>
          <w:ilvl w:val="0"/>
          <w:numId w:val="20"/>
        </w:numPr>
        <w:spacing w:line="360" w:lineRule="auto"/>
        <w:jc w:val="both"/>
        <w:rPr>
          <w:rFonts w:ascii="Bookman Old Style" w:hAnsi="Bookman Old Style"/>
          <w:sz w:val="28"/>
          <w:szCs w:val="28"/>
        </w:rPr>
      </w:pPr>
      <w:r>
        <w:rPr>
          <w:rFonts w:ascii="Bookman Old Style" w:hAnsi="Bookman Old Style"/>
          <w:sz w:val="28"/>
          <w:szCs w:val="28"/>
        </w:rPr>
        <w:t>Further and/or alternative relief.</w:t>
      </w:r>
    </w:p>
    <w:p w14:paraId="10012906" w14:textId="41460034" w:rsidR="00D67CCC" w:rsidRDefault="008E49EE" w:rsidP="00653E0F">
      <w:pPr>
        <w:numPr>
          <w:ilvl w:val="0"/>
          <w:numId w:val="4"/>
        </w:numPr>
        <w:spacing w:line="360" w:lineRule="auto"/>
        <w:contextualSpacing/>
        <w:jc w:val="both"/>
        <w:rPr>
          <w:rFonts w:ascii="Bookman Old Style" w:hAnsi="Bookman Old Style"/>
          <w:sz w:val="28"/>
          <w:szCs w:val="28"/>
        </w:rPr>
      </w:pPr>
      <w:r>
        <w:rPr>
          <w:rFonts w:ascii="Bookman Old Style" w:hAnsi="Bookman Old Style"/>
          <w:sz w:val="28"/>
          <w:szCs w:val="28"/>
        </w:rPr>
        <w:t>To the notice of application was attached an affidavit deposed to by ‘</w:t>
      </w:r>
      <w:proofErr w:type="spellStart"/>
      <w:r>
        <w:rPr>
          <w:rFonts w:ascii="Bookman Old Style" w:hAnsi="Bookman Old Style"/>
          <w:sz w:val="28"/>
          <w:szCs w:val="28"/>
        </w:rPr>
        <w:t>Maselomi</w:t>
      </w:r>
      <w:proofErr w:type="spellEnd"/>
      <w:r>
        <w:rPr>
          <w:rFonts w:ascii="Bookman Old Style" w:hAnsi="Bookman Old Style"/>
          <w:sz w:val="28"/>
          <w:szCs w:val="28"/>
        </w:rPr>
        <w:t xml:space="preserve"> </w:t>
      </w:r>
      <w:proofErr w:type="spellStart"/>
      <w:r>
        <w:rPr>
          <w:rFonts w:ascii="Bookman Old Style" w:hAnsi="Bookman Old Style"/>
          <w:sz w:val="28"/>
          <w:szCs w:val="28"/>
        </w:rPr>
        <w:t>Selomi</w:t>
      </w:r>
      <w:proofErr w:type="spellEnd"/>
      <w:r>
        <w:rPr>
          <w:rFonts w:ascii="Bookman Old Style" w:hAnsi="Bookman Old Style"/>
          <w:sz w:val="28"/>
          <w:szCs w:val="28"/>
        </w:rPr>
        <w:t xml:space="preserve">. In that affidavit, the deponent averred that she verified the contents of the summons and declaration and that the </w:t>
      </w:r>
      <w:r w:rsidR="003509ED">
        <w:rPr>
          <w:rFonts w:ascii="Bookman Old Style" w:hAnsi="Bookman Old Style"/>
          <w:sz w:val="28"/>
          <w:szCs w:val="28"/>
        </w:rPr>
        <w:t>appellant</w:t>
      </w:r>
      <w:r>
        <w:rPr>
          <w:rFonts w:ascii="Bookman Old Style" w:hAnsi="Bookman Old Style"/>
          <w:sz w:val="28"/>
          <w:szCs w:val="28"/>
        </w:rPr>
        <w:t xml:space="preserve">s, jointly and severally, are indebted </w:t>
      </w:r>
      <w:r w:rsidR="00017255">
        <w:rPr>
          <w:rFonts w:ascii="Bookman Old Style" w:hAnsi="Bookman Old Style"/>
          <w:sz w:val="28"/>
          <w:szCs w:val="28"/>
        </w:rPr>
        <w:t xml:space="preserve">to the </w:t>
      </w:r>
      <w:r w:rsidR="003509ED">
        <w:rPr>
          <w:rFonts w:ascii="Bookman Old Style" w:hAnsi="Bookman Old Style"/>
          <w:sz w:val="28"/>
          <w:szCs w:val="28"/>
        </w:rPr>
        <w:t>respondent</w:t>
      </w:r>
      <w:r w:rsidR="00017255">
        <w:rPr>
          <w:rFonts w:ascii="Bookman Old Style" w:hAnsi="Bookman Old Style"/>
          <w:sz w:val="28"/>
          <w:szCs w:val="28"/>
        </w:rPr>
        <w:t xml:space="preserve"> in the sum of T</w:t>
      </w:r>
      <w:r>
        <w:rPr>
          <w:rFonts w:ascii="Bookman Old Style" w:hAnsi="Bookman Old Style"/>
          <w:sz w:val="28"/>
          <w:szCs w:val="28"/>
        </w:rPr>
        <w:t xml:space="preserve">hirty </w:t>
      </w:r>
      <w:r w:rsidR="004E6905">
        <w:rPr>
          <w:rFonts w:ascii="Bookman Old Style" w:hAnsi="Bookman Old Style"/>
          <w:sz w:val="28"/>
          <w:szCs w:val="28"/>
        </w:rPr>
        <w:t xml:space="preserve">Thousand </w:t>
      </w:r>
      <w:r>
        <w:rPr>
          <w:rFonts w:ascii="Bookman Old Style" w:hAnsi="Bookman Old Style"/>
          <w:sz w:val="28"/>
          <w:szCs w:val="28"/>
        </w:rPr>
        <w:t>Maloti (M30.</w:t>
      </w:r>
      <w:r w:rsidR="004E6905">
        <w:rPr>
          <w:rFonts w:ascii="Bookman Old Style" w:hAnsi="Bookman Old Style"/>
          <w:sz w:val="28"/>
          <w:szCs w:val="28"/>
        </w:rPr>
        <w:t>0</w:t>
      </w:r>
      <w:r>
        <w:rPr>
          <w:rFonts w:ascii="Bookman Old Style" w:hAnsi="Bookman Old Style"/>
          <w:sz w:val="28"/>
          <w:szCs w:val="28"/>
        </w:rPr>
        <w:t>00) on the grounds stated in the summons</w:t>
      </w:r>
      <w:r w:rsidR="00017255">
        <w:rPr>
          <w:rFonts w:ascii="Bookman Old Style" w:hAnsi="Bookman Old Style"/>
          <w:sz w:val="28"/>
          <w:szCs w:val="28"/>
        </w:rPr>
        <w:t xml:space="preserve"> and, having undertaken to pay the said money on or before 28 December 2017. She further averred to the </w:t>
      </w:r>
      <w:r w:rsidR="003509ED">
        <w:rPr>
          <w:rFonts w:ascii="Bookman Old Style" w:hAnsi="Bookman Old Style"/>
          <w:sz w:val="28"/>
          <w:szCs w:val="28"/>
        </w:rPr>
        <w:t>respondent</w:t>
      </w:r>
      <w:r w:rsidR="00017255">
        <w:rPr>
          <w:rFonts w:ascii="Bookman Old Style" w:hAnsi="Bookman Old Style"/>
          <w:sz w:val="28"/>
          <w:szCs w:val="28"/>
        </w:rPr>
        <w:t xml:space="preserve">’s claim, being a liquidated amount </w:t>
      </w:r>
      <w:r w:rsidR="00081E60">
        <w:rPr>
          <w:rFonts w:ascii="Bookman Old Style" w:hAnsi="Bookman Old Style"/>
          <w:sz w:val="28"/>
          <w:szCs w:val="28"/>
        </w:rPr>
        <w:t xml:space="preserve">in </w:t>
      </w:r>
      <w:r w:rsidR="00017255">
        <w:rPr>
          <w:rFonts w:ascii="Bookman Old Style" w:hAnsi="Bookman Old Style"/>
          <w:sz w:val="28"/>
          <w:szCs w:val="28"/>
        </w:rPr>
        <w:t xml:space="preserve">money </w:t>
      </w:r>
      <w:r w:rsidR="008A4D3D">
        <w:rPr>
          <w:rFonts w:ascii="Bookman Old Style" w:hAnsi="Bookman Old Style"/>
          <w:sz w:val="28"/>
          <w:szCs w:val="28"/>
        </w:rPr>
        <w:t>to which she was a witness. She</w:t>
      </w:r>
      <w:r w:rsidR="00017255">
        <w:rPr>
          <w:rFonts w:ascii="Bookman Old Style" w:hAnsi="Bookman Old Style"/>
          <w:sz w:val="28"/>
          <w:szCs w:val="28"/>
        </w:rPr>
        <w:t xml:space="preserve"> attached the </w:t>
      </w:r>
      <w:r w:rsidR="003509ED">
        <w:rPr>
          <w:rFonts w:ascii="Bookman Old Style" w:hAnsi="Bookman Old Style"/>
          <w:sz w:val="28"/>
          <w:szCs w:val="28"/>
        </w:rPr>
        <w:t>appellant</w:t>
      </w:r>
      <w:r w:rsidR="00017255">
        <w:rPr>
          <w:rFonts w:ascii="Bookman Old Style" w:hAnsi="Bookman Old Style"/>
          <w:sz w:val="28"/>
          <w:szCs w:val="28"/>
        </w:rPr>
        <w:t>s</w:t>
      </w:r>
      <w:r w:rsidR="003509ED">
        <w:rPr>
          <w:rFonts w:ascii="Bookman Old Style" w:hAnsi="Bookman Old Style"/>
          <w:sz w:val="28"/>
          <w:szCs w:val="28"/>
        </w:rPr>
        <w:t>’</w:t>
      </w:r>
      <w:r w:rsidR="00017255">
        <w:rPr>
          <w:rFonts w:ascii="Bookman Old Style" w:hAnsi="Bookman Old Style"/>
          <w:sz w:val="28"/>
          <w:szCs w:val="28"/>
        </w:rPr>
        <w:t xml:space="preserve"> undertaking dated 03 October 2017, which is to effect payment as stated in the </w:t>
      </w:r>
      <w:r w:rsidR="003509ED">
        <w:rPr>
          <w:rFonts w:ascii="Bookman Old Style" w:hAnsi="Bookman Old Style"/>
          <w:sz w:val="28"/>
          <w:szCs w:val="28"/>
        </w:rPr>
        <w:t>respondent</w:t>
      </w:r>
      <w:r w:rsidR="00017255">
        <w:rPr>
          <w:rFonts w:ascii="Bookman Old Style" w:hAnsi="Bookman Old Style"/>
          <w:sz w:val="28"/>
          <w:szCs w:val="28"/>
        </w:rPr>
        <w:t>’s summons and to which contents she positively swore.</w:t>
      </w:r>
    </w:p>
    <w:p w14:paraId="2592C1B8" w14:textId="1C9EDA1C" w:rsidR="003516E3" w:rsidRDefault="00017255" w:rsidP="00653E0F">
      <w:pPr>
        <w:numPr>
          <w:ilvl w:val="0"/>
          <w:numId w:val="4"/>
        </w:numPr>
        <w:spacing w:line="360" w:lineRule="auto"/>
        <w:contextualSpacing/>
        <w:jc w:val="both"/>
        <w:rPr>
          <w:rFonts w:ascii="Bookman Old Style" w:hAnsi="Bookman Old Style"/>
          <w:sz w:val="28"/>
          <w:szCs w:val="28"/>
        </w:rPr>
      </w:pPr>
      <w:r>
        <w:rPr>
          <w:rFonts w:ascii="Bookman Old Style" w:hAnsi="Bookman Old Style"/>
          <w:sz w:val="28"/>
          <w:szCs w:val="28"/>
        </w:rPr>
        <w:t xml:space="preserve">The second appellant answered the application for summary judgment. In his answering affidavit, he </w:t>
      </w:r>
      <w:r w:rsidRPr="00017255">
        <w:rPr>
          <w:rFonts w:ascii="Bookman Old Style" w:hAnsi="Bookman Old Style"/>
          <w:i/>
          <w:sz w:val="28"/>
          <w:szCs w:val="28"/>
        </w:rPr>
        <w:t>inter alia</w:t>
      </w:r>
      <w:r>
        <w:rPr>
          <w:rFonts w:ascii="Bookman Old Style" w:hAnsi="Bookman Old Style"/>
          <w:sz w:val="28"/>
          <w:szCs w:val="28"/>
        </w:rPr>
        <w:t>, raised an issue as to the jurisdiction of the High Court to entertain the matter. He averred that the c</w:t>
      </w:r>
      <w:r w:rsidR="004E6905">
        <w:rPr>
          <w:rFonts w:ascii="Bookman Old Style" w:hAnsi="Bookman Old Style"/>
          <w:sz w:val="28"/>
          <w:szCs w:val="28"/>
        </w:rPr>
        <w:t xml:space="preserve">ause </w:t>
      </w:r>
      <w:r>
        <w:rPr>
          <w:rFonts w:ascii="Bookman Old Style" w:hAnsi="Bookman Old Style"/>
          <w:sz w:val="28"/>
          <w:szCs w:val="28"/>
        </w:rPr>
        <w:t xml:space="preserve">of action falls within the jurisdiction of the Local and Central Courts. He therefore argued that it could not be brought directly to the High Court. He further averred that this is contrary to section 6 of the High Court Act 1978. He averred that the agreement was erroneously agreed upon by parties before consultation with one Thabang </w:t>
      </w:r>
      <w:proofErr w:type="spellStart"/>
      <w:r>
        <w:rPr>
          <w:rFonts w:ascii="Bookman Old Style" w:hAnsi="Bookman Old Style"/>
          <w:sz w:val="28"/>
          <w:szCs w:val="28"/>
        </w:rPr>
        <w:t>Ramarumo</w:t>
      </w:r>
      <w:proofErr w:type="spellEnd"/>
      <w:r>
        <w:rPr>
          <w:rFonts w:ascii="Bookman Old Style" w:hAnsi="Bookman Old Style"/>
          <w:sz w:val="28"/>
          <w:szCs w:val="28"/>
        </w:rPr>
        <w:t xml:space="preserve"> who was alleged to have fathered </w:t>
      </w:r>
      <w:r w:rsidR="003901FD">
        <w:rPr>
          <w:rFonts w:ascii="Bookman Old Style" w:hAnsi="Bookman Old Style"/>
          <w:sz w:val="28"/>
          <w:szCs w:val="28"/>
        </w:rPr>
        <w:t xml:space="preserve">the child. He averred that when Thabang first met </w:t>
      </w:r>
      <w:proofErr w:type="spellStart"/>
      <w:r w:rsidR="003901FD">
        <w:rPr>
          <w:rFonts w:ascii="Bookman Old Style" w:hAnsi="Bookman Old Style"/>
          <w:sz w:val="28"/>
          <w:szCs w:val="28"/>
        </w:rPr>
        <w:t>Matlakala</w:t>
      </w:r>
      <w:proofErr w:type="spellEnd"/>
      <w:r w:rsidR="003901FD">
        <w:rPr>
          <w:rFonts w:ascii="Bookman Old Style" w:hAnsi="Bookman Old Style"/>
          <w:sz w:val="28"/>
          <w:szCs w:val="28"/>
        </w:rPr>
        <w:t xml:space="preserve"> </w:t>
      </w:r>
      <w:proofErr w:type="spellStart"/>
      <w:r w:rsidR="003901FD">
        <w:rPr>
          <w:rFonts w:ascii="Bookman Old Style" w:hAnsi="Bookman Old Style"/>
          <w:sz w:val="28"/>
          <w:szCs w:val="28"/>
        </w:rPr>
        <w:t>Selomi</w:t>
      </w:r>
      <w:proofErr w:type="spellEnd"/>
      <w:r w:rsidR="003901FD">
        <w:rPr>
          <w:rFonts w:ascii="Bookman Old Style" w:hAnsi="Bookman Old Style"/>
          <w:sz w:val="28"/>
          <w:szCs w:val="28"/>
        </w:rPr>
        <w:t xml:space="preserve">, she was </w:t>
      </w:r>
      <w:r w:rsidR="003901FD">
        <w:rPr>
          <w:rFonts w:ascii="Bookman Old Style" w:hAnsi="Bookman Old Style"/>
          <w:sz w:val="28"/>
          <w:szCs w:val="28"/>
        </w:rPr>
        <w:lastRenderedPageBreak/>
        <w:t xml:space="preserve">already pregnant. He further averred that Thabang </w:t>
      </w:r>
      <w:proofErr w:type="spellStart"/>
      <w:r w:rsidR="003901FD">
        <w:rPr>
          <w:rFonts w:ascii="Bookman Old Style" w:hAnsi="Bookman Old Style"/>
          <w:sz w:val="28"/>
          <w:szCs w:val="28"/>
        </w:rPr>
        <w:t>Ramarumo</w:t>
      </w:r>
      <w:proofErr w:type="spellEnd"/>
      <w:r w:rsidR="003901FD">
        <w:rPr>
          <w:rFonts w:ascii="Bookman Old Style" w:hAnsi="Bookman Old Style"/>
          <w:sz w:val="28"/>
          <w:szCs w:val="28"/>
        </w:rPr>
        <w:t xml:space="preserve"> was an adult when the alleged delict occurred </w:t>
      </w:r>
      <w:proofErr w:type="gramStart"/>
      <w:r w:rsidR="003901FD">
        <w:rPr>
          <w:rFonts w:ascii="Bookman Old Style" w:hAnsi="Bookman Old Style"/>
          <w:sz w:val="28"/>
          <w:szCs w:val="28"/>
        </w:rPr>
        <w:t>thus</w:t>
      </w:r>
      <w:proofErr w:type="gramEnd"/>
      <w:r w:rsidR="003901FD">
        <w:rPr>
          <w:rFonts w:ascii="Bookman Old Style" w:hAnsi="Bookman Old Style"/>
          <w:sz w:val="28"/>
          <w:szCs w:val="28"/>
        </w:rPr>
        <w:t xml:space="preserve"> he is responsible for his actions in law. He therefore prayed for the dismissal of the application.</w:t>
      </w:r>
    </w:p>
    <w:p w14:paraId="60889757" w14:textId="3EB82ADE" w:rsidR="00814AB1" w:rsidRDefault="008A4D3D" w:rsidP="00653E0F">
      <w:pPr>
        <w:numPr>
          <w:ilvl w:val="0"/>
          <w:numId w:val="4"/>
        </w:numPr>
        <w:spacing w:line="360" w:lineRule="auto"/>
        <w:contextualSpacing/>
        <w:jc w:val="both"/>
        <w:rPr>
          <w:rFonts w:ascii="Bookman Old Style" w:hAnsi="Bookman Old Style"/>
          <w:sz w:val="28"/>
          <w:szCs w:val="28"/>
        </w:rPr>
      </w:pPr>
      <w:r>
        <w:rPr>
          <w:rFonts w:ascii="Bookman Old Style" w:hAnsi="Bookman Old Style"/>
          <w:sz w:val="28"/>
          <w:szCs w:val="28"/>
        </w:rPr>
        <w:t>The matter was se</w:t>
      </w:r>
      <w:r w:rsidR="003901FD">
        <w:rPr>
          <w:rFonts w:ascii="Bookman Old Style" w:hAnsi="Bookman Old Style"/>
          <w:sz w:val="28"/>
          <w:szCs w:val="28"/>
        </w:rPr>
        <w:t xml:space="preserve">t down for hearing on 02 April 2019. On 19 August 2019, </w:t>
      </w:r>
      <w:proofErr w:type="spellStart"/>
      <w:r w:rsidR="003901FD">
        <w:rPr>
          <w:rFonts w:ascii="Bookman Old Style" w:hAnsi="Bookman Old Style"/>
          <w:sz w:val="28"/>
          <w:szCs w:val="28"/>
        </w:rPr>
        <w:t>Monapathi</w:t>
      </w:r>
      <w:proofErr w:type="spellEnd"/>
      <w:r w:rsidR="003901FD">
        <w:rPr>
          <w:rFonts w:ascii="Bookman Old Style" w:hAnsi="Bookman Old Style"/>
          <w:sz w:val="28"/>
          <w:szCs w:val="28"/>
        </w:rPr>
        <w:t xml:space="preserve"> J handed down judgment in which he granted the application with costs. </w:t>
      </w:r>
    </w:p>
    <w:p w14:paraId="6A012F40" w14:textId="77777777" w:rsidR="002D1843" w:rsidRPr="00AA32A7" w:rsidRDefault="002D1843" w:rsidP="002D1843">
      <w:pPr>
        <w:spacing w:line="360" w:lineRule="auto"/>
        <w:contextualSpacing/>
        <w:jc w:val="both"/>
        <w:rPr>
          <w:rFonts w:ascii="Bookman Old Style" w:hAnsi="Bookman Old Style"/>
          <w:b/>
          <w:sz w:val="28"/>
          <w:szCs w:val="28"/>
        </w:rPr>
      </w:pPr>
      <w:r w:rsidRPr="00AA32A7">
        <w:rPr>
          <w:rFonts w:ascii="Bookman Old Style" w:hAnsi="Bookman Old Style"/>
          <w:b/>
          <w:sz w:val="28"/>
          <w:szCs w:val="28"/>
        </w:rPr>
        <w:t>Parties</w:t>
      </w:r>
    </w:p>
    <w:p w14:paraId="1E2C627A" w14:textId="140ADB46" w:rsidR="003A6764" w:rsidRDefault="003901FD" w:rsidP="003A6764">
      <w:pPr>
        <w:numPr>
          <w:ilvl w:val="0"/>
          <w:numId w:val="4"/>
        </w:numPr>
        <w:spacing w:line="360" w:lineRule="auto"/>
        <w:contextualSpacing/>
        <w:jc w:val="both"/>
        <w:rPr>
          <w:rFonts w:ascii="Bookman Old Style" w:hAnsi="Bookman Old Style"/>
          <w:sz w:val="28"/>
          <w:szCs w:val="28"/>
        </w:rPr>
      </w:pPr>
      <w:r>
        <w:rPr>
          <w:rFonts w:ascii="Bookman Old Style" w:hAnsi="Bookman Old Style"/>
          <w:sz w:val="28"/>
          <w:szCs w:val="28"/>
        </w:rPr>
        <w:t xml:space="preserve">Before highlighting the brief factual matrix for purposes of this case, it is prudent to briefly describe the parties. The respondent was the plaintiff in the High Court. He is a male Mosotho adult of Ha </w:t>
      </w:r>
      <w:proofErr w:type="spellStart"/>
      <w:r>
        <w:rPr>
          <w:rFonts w:ascii="Bookman Old Style" w:hAnsi="Bookman Old Style"/>
          <w:sz w:val="28"/>
          <w:szCs w:val="28"/>
        </w:rPr>
        <w:t>Lejone</w:t>
      </w:r>
      <w:proofErr w:type="spellEnd"/>
      <w:r>
        <w:rPr>
          <w:rFonts w:ascii="Bookman Old Style" w:hAnsi="Bookman Old Style"/>
          <w:sz w:val="28"/>
          <w:szCs w:val="28"/>
        </w:rPr>
        <w:t xml:space="preserve">, </w:t>
      </w:r>
      <w:proofErr w:type="spellStart"/>
      <w:r>
        <w:rPr>
          <w:rFonts w:ascii="Bookman Old Style" w:hAnsi="Bookman Old Style"/>
          <w:sz w:val="28"/>
          <w:szCs w:val="28"/>
        </w:rPr>
        <w:t>Pelaneng</w:t>
      </w:r>
      <w:proofErr w:type="spellEnd"/>
      <w:r>
        <w:rPr>
          <w:rFonts w:ascii="Bookman Old Style" w:hAnsi="Bookman Old Style"/>
          <w:sz w:val="28"/>
          <w:szCs w:val="28"/>
        </w:rPr>
        <w:t xml:space="preserve"> Ha </w:t>
      </w:r>
      <w:proofErr w:type="spellStart"/>
      <w:r>
        <w:rPr>
          <w:rFonts w:ascii="Bookman Old Style" w:hAnsi="Bookman Old Style"/>
          <w:sz w:val="28"/>
          <w:szCs w:val="28"/>
        </w:rPr>
        <w:t>Ralitlhokoa</w:t>
      </w:r>
      <w:proofErr w:type="spellEnd"/>
      <w:r>
        <w:rPr>
          <w:rFonts w:ascii="Bookman Old Style" w:hAnsi="Bookman Old Style"/>
          <w:sz w:val="28"/>
          <w:szCs w:val="28"/>
        </w:rPr>
        <w:t xml:space="preserve"> in the </w:t>
      </w:r>
      <w:proofErr w:type="spellStart"/>
      <w:r>
        <w:rPr>
          <w:rFonts w:ascii="Bookman Old Style" w:hAnsi="Bookman Old Style"/>
          <w:sz w:val="28"/>
          <w:szCs w:val="28"/>
        </w:rPr>
        <w:t>Leribe</w:t>
      </w:r>
      <w:proofErr w:type="spellEnd"/>
      <w:r>
        <w:rPr>
          <w:rFonts w:ascii="Bookman Old Style" w:hAnsi="Bookman Old Style"/>
          <w:sz w:val="28"/>
          <w:szCs w:val="28"/>
        </w:rPr>
        <w:t xml:space="preserve"> district. The first defendant was ‘</w:t>
      </w:r>
      <w:proofErr w:type="spellStart"/>
      <w:r>
        <w:rPr>
          <w:rFonts w:ascii="Bookman Old Style" w:hAnsi="Bookman Old Style"/>
          <w:sz w:val="28"/>
          <w:szCs w:val="28"/>
        </w:rPr>
        <w:t>Maseeta</w:t>
      </w:r>
      <w:proofErr w:type="spellEnd"/>
      <w:r>
        <w:rPr>
          <w:rFonts w:ascii="Bookman Old Style" w:hAnsi="Bookman Old Style"/>
          <w:sz w:val="28"/>
          <w:szCs w:val="28"/>
        </w:rPr>
        <w:t xml:space="preserve"> </w:t>
      </w:r>
      <w:proofErr w:type="spellStart"/>
      <w:r>
        <w:rPr>
          <w:rFonts w:ascii="Bookman Old Style" w:hAnsi="Bookman Old Style"/>
          <w:sz w:val="28"/>
          <w:szCs w:val="28"/>
        </w:rPr>
        <w:t>Ramarumo</w:t>
      </w:r>
      <w:proofErr w:type="spellEnd"/>
      <w:r>
        <w:rPr>
          <w:rFonts w:ascii="Bookman Old Style" w:hAnsi="Bookman Old Style"/>
          <w:sz w:val="28"/>
          <w:szCs w:val="28"/>
        </w:rPr>
        <w:t xml:space="preserve">. She is a Mosotho female adult of </w:t>
      </w:r>
      <w:proofErr w:type="spellStart"/>
      <w:r>
        <w:rPr>
          <w:rFonts w:ascii="Bookman Old Style" w:hAnsi="Bookman Old Style"/>
          <w:sz w:val="28"/>
          <w:szCs w:val="28"/>
        </w:rPr>
        <w:t>Mahobong</w:t>
      </w:r>
      <w:proofErr w:type="spellEnd"/>
      <w:r>
        <w:rPr>
          <w:rFonts w:ascii="Bookman Old Style" w:hAnsi="Bookman Old Style"/>
          <w:sz w:val="28"/>
          <w:szCs w:val="28"/>
        </w:rPr>
        <w:t xml:space="preserve"> in the district of </w:t>
      </w:r>
      <w:proofErr w:type="spellStart"/>
      <w:r>
        <w:rPr>
          <w:rFonts w:ascii="Bookman Old Style" w:hAnsi="Bookman Old Style"/>
          <w:sz w:val="28"/>
          <w:szCs w:val="28"/>
        </w:rPr>
        <w:t>Leribe</w:t>
      </w:r>
      <w:proofErr w:type="spellEnd"/>
      <w:r>
        <w:rPr>
          <w:rFonts w:ascii="Bookman Old Style" w:hAnsi="Bookman Old Style"/>
          <w:sz w:val="28"/>
          <w:szCs w:val="28"/>
        </w:rPr>
        <w:t xml:space="preserve">. The second defendant is </w:t>
      </w:r>
      <w:proofErr w:type="spellStart"/>
      <w:r>
        <w:rPr>
          <w:rFonts w:ascii="Bookman Old Style" w:hAnsi="Bookman Old Style"/>
          <w:sz w:val="28"/>
          <w:szCs w:val="28"/>
        </w:rPr>
        <w:t>Sakhu</w:t>
      </w:r>
      <w:proofErr w:type="spellEnd"/>
      <w:r>
        <w:rPr>
          <w:rFonts w:ascii="Bookman Old Style" w:hAnsi="Bookman Old Style"/>
          <w:sz w:val="28"/>
          <w:szCs w:val="28"/>
        </w:rPr>
        <w:t xml:space="preserve"> </w:t>
      </w:r>
      <w:proofErr w:type="spellStart"/>
      <w:r>
        <w:rPr>
          <w:rFonts w:ascii="Bookman Old Style" w:hAnsi="Bookman Old Style"/>
          <w:sz w:val="28"/>
          <w:szCs w:val="28"/>
        </w:rPr>
        <w:t>Ramarumo</w:t>
      </w:r>
      <w:proofErr w:type="spellEnd"/>
      <w:r>
        <w:rPr>
          <w:rFonts w:ascii="Bookman Old Style" w:hAnsi="Bookman Old Style"/>
          <w:sz w:val="28"/>
          <w:szCs w:val="28"/>
        </w:rPr>
        <w:t xml:space="preserve">. He is also a male Mosotho adult of </w:t>
      </w:r>
      <w:proofErr w:type="spellStart"/>
      <w:r>
        <w:rPr>
          <w:rFonts w:ascii="Bookman Old Style" w:hAnsi="Bookman Old Style"/>
          <w:sz w:val="28"/>
          <w:szCs w:val="28"/>
        </w:rPr>
        <w:t>Mahobong</w:t>
      </w:r>
      <w:proofErr w:type="spellEnd"/>
      <w:r>
        <w:rPr>
          <w:rFonts w:ascii="Bookman Old Style" w:hAnsi="Bookman Old Style"/>
          <w:sz w:val="28"/>
          <w:szCs w:val="28"/>
        </w:rPr>
        <w:t xml:space="preserve"> in the district of </w:t>
      </w:r>
      <w:proofErr w:type="spellStart"/>
      <w:r>
        <w:rPr>
          <w:rFonts w:ascii="Bookman Old Style" w:hAnsi="Bookman Old Style"/>
          <w:sz w:val="28"/>
          <w:szCs w:val="28"/>
        </w:rPr>
        <w:t>Leribe</w:t>
      </w:r>
      <w:proofErr w:type="spellEnd"/>
      <w:r>
        <w:rPr>
          <w:rFonts w:ascii="Bookman Old Style" w:hAnsi="Bookman Old Style"/>
          <w:sz w:val="28"/>
          <w:szCs w:val="28"/>
        </w:rPr>
        <w:t>, and a son to the first defendant</w:t>
      </w:r>
      <w:r w:rsidR="00EA31CC">
        <w:rPr>
          <w:rFonts w:ascii="Bookman Old Style" w:hAnsi="Bookman Old Style"/>
          <w:sz w:val="28"/>
          <w:szCs w:val="28"/>
        </w:rPr>
        <w:t xml:space="preserve">. </w:t>
      </w:r>
    </w:p>
    <w:p w14:paraId="083D4A56" w14:textId="6A035DA5" w:rsidR="00D14674" w:rsidRPr="004B5901" w:rsidRDefault="003A6764" w:rsidP="003A6764">
      <w:pPr>
        <w:spacing w:line="360" w:lineRule="auto"/>
        <w:contextualSpacing/>
        <w:jc w:val="both"/>
        <w:rPr>
          <w:rFonts w:ascii="Bookman Old Style" w:hAnsi="Bookman Old Style"/>
          <w:sz w:val="28"/>
          <w:szCs w:val="28"/>
        </w:rPr>
      </w:pPr>
      <w:r w:rsidRPr="004B5901">
        <w:rPr>
          <w:rFonts w:ascii="Bookman Old Style" w:hAnsi="Bookman Old Style"/>
          <w:b/>
          <w:bCs/>
          <w:sz w:val="28"/>
          <w:szCs w:val="28"/>
        </w:rPr>
        <w:t xml:space="preserve"> </w:t>
      </w:r>
      <w:r w:rsidR="00D14674" w:rsidRPr="004B5901">
        <w:rPr>
          <w:rFonts w:ascii="Bookman Old Style" w:hAnsi="Bookman Old Style"/>
          <w:b/>
          <w:bCs/>
          <w:sz w:val="28"/>
          <w:szCs w:val="28"/>
        </w:rPr>
        <w:t>The</w:t>
      </w:r>
      <w:r w:rsidR="00D14674" w:rsidRPr="004C0097">
        <w:rPr>
          <w:rFonts w:ascii="Bookman Old Style" w:hAnsi="Bookman Old Style"/>
          <w:b/>
          <w:bCs/>
          <w:sz w:val="28"/>
          <w:szCs w:val="28"/>
        </w:rPr>
        <w:t xml:space="preserve"> factual matrix</w:t>
      </w:r>
    </w:p>
    <w:p w14:paraId="621FA8DC" w14:textId="36765C2A" w:rsidR="00D36FF4" w:rsidRDefault="00EA31CC" w:rsidP="00DE7ECB">
      <w:pPr>
        <w:numPr>
          <w:ilvl w:val="0"/>
          <w:numId w:val="4"/>
        </w:numPr>
        <w:spacing w:line="360" w:lineRule="auto"/>
        <w:contextualSpacing/>
        <w:jc w:val="both"/>
        <w:rPr>
          <w:rFonts w:ascii="Bookman Old Style" w:hAnsi="Bookman Old Style"/>
          <w:sz w:val="28"/>
          <w:szCs w:val="28"/>
        </w:rPr>
      </w:pPr>
      <w:r>
        <w:rPr>
          <w:rFonts w:ascii="Bookman Old Style" w:hAnsi="Bookman Old Style"/>
          <w:sz w:val="28"/>
          <w:szCs w:val="28"/>
        </w:rPr>
        <w:t>The facts of this case are that, the parties entered into a written agreement on 03 October 2017</w:t>
      </w:r>
      <w:r w:rsidR="007637EE">
        <w:rPr>
          <w:rFonts w:ascii="Bookman Old Style" w:hAnsi="Bookman Old Style"/>
          <w:sz w:val="28"/>
          <w:szCs w:val="28"/>
        </w:rPr>
        <w:t xml:space="preserve"> aimed at enforcing a customary law claim of seduction of respondent’s daughter by the appellants’</w:t>
      </w:r>
      <w:r w:rsidR="00CF7116">
        <w:rPr>
          <w:rFonts w:ascii="Bookman Old Style" w:hAnsi="Bookman Old Style"/>
          <w:sz w:val="28"/>
          <w:szCs w:val="28"/>
        </w:rPr>
        <w:t xml:space="preserve"> </w:t>
      </w:r>
      <w:r w:rsidR="007637EE">
        <w:rPr>
          <w:rFonts w:ascii="Bookman Old Style" w:hAnsi="Bookman Old Style"/>
          <w:sz w:val="28"/>
          <w:szCs w:val="28"/>
        </w:rPr>
        <w:t>son</w:t>
      </w:r>
      <w:r>
        <w:rPr>
          <w:rFonts w:ascii="Bookman Old Style" w:hAnsi="Bookman Old Style"/>
          <w:sz w:val="28"/>
          <w:szCs w:val="28"/>
        </w:rPr>
        <w:t xml:space="preserve">. In </w:t>
      </w:r>
      <w:r w:rsidR="008A4D3D">
        <w:rPr>
          <w:rFonts w:ascii="Bookman Old Style" w:hAnsi="Bookman Old Style"/>
          <w:sz w:val="28"/>
          <w:szCs w:val="28"/>
        </w:rPr>
        <w:t>terms of the said agreement</w:t>
      </w:r>
      <w:r>
        <w:rPr>
          <w:rFonts w:ascii="Bookman Old Style" w:hAnsi="Bookman Old Style"/>
          <w:sz w:val="28"/>
          <w:szCs w:val="28"/>
        </w:rPr>
        <w:t xml:space="preserve">, the </w:t>
      </w:r>
      <w:r w:rsidR="003509ED">
        <w:rPr>
          <w:rFonts w:ascii="Bookman Old Style" w:hAnsi="Bookman Old Style"/>
          <w:sz w:val="28"/>
          <w:szCs w:val="28"/>
        </w:rPr>
        <w:t>appellant</w:t>
      </w:r>
      <w:r>
        <w:rPr>
          <w:rFonts w:ascii="Bookman Old Style" w:hAnsi="Bookman Old Style"/>
          <w:sz w:val="28"/>
          <w:szCs w:val="28"/>
        </w:rPr>
        <w:t xml:space="preserve">s would pay to </w:t>
      </w:r>
      <w:r w:rsidR="003509ED">
        <w:rPr>
          <w:rFonts w:ascii="Bookman Old Style" w:hAnsi="Bookman Old Style"/>
          <w:sz w:val="28"/>
          <w:szCs w:val="28"/>
        </w:rPr>
        <w:t>respondent</w:t>
      </w:r>
      <w:r>
        <w:rPr>
          <w:rFonts w:ascii="Bookman Old Style" w:hAnsi="Bookman Old Style"/>
          <w:sz w:val="28"/>
          <w:szCs w:val="28"/>
        </w:rPr>
        <w:t xml:space="preserve"> six head of cattle as damages for their son’s (Thabang </w:t>
      </w:r>
      <w:proofErr w:type="spellStart"/>
      <w:r>
        <w:rPr>
          <w:rFonts w:ascii="Bookman Old Style" w:hAnsi="Bookman Old Style"/>
          <w:sz w:val="28"/>
          <w:szCs w:val="28"/>
        </w:rPr>
        <w:t>Ramarumo</w:t>
      </w:r>
      <w:proofErr w:type="spellEnd"/>
      <w:r>
        <w:rPr>
          <w:rFonts w:ascii="Bookman Old Style" w:hAnsi="Bookman Old Style"/>
          <w:sz w:val="28"/>
          <w:szCs w:val="28"/>
        </w:rPr>
        <w:t xml:space="preserve">) impregnation of the </w:t>
      </w:r>
      <w:r w:rsidR="003509ED">
        <w:rPr>
          <w:rFonts w:ascii="Bookman Old Style" w:hAnsi="Bookman Old Style"/>
          <w:sz w:val="28"/>
          <w:szCs w:val="28"/>
        </w:rPr>
        <w:t>respondent</w:t>
      </w:r>
      <w:r>
        <w:rPr>
          <w:rFonts w:ascii="Bookman Old Style" w:hAnsi="Bookman Old Style"/>
          <w:sz w:val="28"/>
          <w:szCs w:val="28"/>
        </w:rPr>
        <w:t>’s minor daughter (</w:t>
      </w:r>
      <w:proofErr w:type="spellStart"/>
      <w:r>
        <w:rPr>
          <w:rFonts w:ascii="Bookman Old Style" w:hAnsi="Bookman Old Style"/>
          <w:sz w:val="28"/>
          <w:szCs w:val="28"/>
        </w:rPr>
        <w:t>Matlakala</w:t>
      </w:r>
      <w:proofErr w:type="spellEnd"/>
      <w:r>
        <w:rPr>
          <w:rFonts w:ascii="Bookman Old Style" w:hAnsi="Bookman Old Style"/>
          <w:sz w:val="28"/>
          <w:szCs w:val="28"/>
        </w:rPr>
        <w:t xml:space="preserve"> </w:t>
      </w:r>
      <w:proofErr w:type="spellStart"/>
      <w:r>
        <w:rPr>
          <w:rFonts w:ascii="Bookman Old Style" w:hAnsi="Bookman Old Style"/>
          <w:sz w:val="28"/>
          <w:szCs w:val="28"/>
        </w:rPr>
        <w:t>Ramarumo</w:t>
      </w:r>
      <w:proofErr w:type="spellEnd"/>
      <w:r>
        <w:rPr>
          <w:rFonts w:ascii="Bookman Old Style" w:hAnsi="Bookman Old Style"/>
          <w:sz w:val="28"/>
          <w:szCs w:val="28"/>
        </w:rPr>
        <w:t>).</w:t>
      </w:r>
    </w:p>
    <w:p w14:paraId="6616DA99" w14:textId="5D45757D" w:rsidR="00EA31CC" w:rsidRDefault="00EA31CC" w:rsidP="00DE7ECB">
      <w:pPr>
        <w:numPr>
          <w:ilvl w:val="0"/>
          <w:numId w:val="4"/>
        </w:numPr>
        <w:spacing w:line="360" w:lineRule="auto"/>
        <w:contextualSpacing/>
        <w:jc w:val="both"/>
        <w:rPr>
          <w:rFonts w:ascii="Bookman Old Style" w:hAnsi="Bookman Old Style"/>
          <w:sz w:val="28"/>
          <w:szCs w:val="28"/>
        </w:rPr>
      </w:pPr>
      <w:r>
        <w:rPr>
          <w:rFonts w:ascii="Bookman Old Style" w:hAnsi="Bookman Old Style"/>
          <w:sz w:val="28"/>
          <w:szCs w:val="28"/>
        </w:rPr>
        <w:t xml:space="preserve">In the said agreement, certain facts were agreed upon, to wit: that the </w:t>
      </w:r>
      <w:r w:rsidR="003509ED">
        <w:rPr>
          <w:rFonts w:ascii="Bookman Old Style" w:hAnsi="Bookman Old Style"/>
          <w:sz w:val="28"/>
          <w:szCs w:val="28"/>
        </w:rPr>
        <w:t>appellant</w:t>
      </w:r>
      <w:r>
        <w:rPr>
          <w:rFonts w:ascii="Bookman Old Style" w:hAnsi="Bookman Old Style"/>
          <w:sz w:val="28"/>
          <w:szCs w:val="28"/>
        </w:rPr>
        <w:t xml:space="preserve">s would pay six head of cattle as compensation for the impregnation of the </w:t>
      </w:r>
      <w:r w:rsidR="003509ED">
        <w:rPr>
          <w:rFonts w:ascii="Bookman Old Style" w:hAnsi="Bookman Old Style"/>
          <w:sz w:val="28"/>
          <w:szCs w:val="28"/>
        </w:rPr>
        <w:t>respondent</w:t>
      </w:r>
      <w:r>
        <w:rPr>
          <w:rFonts w:ascii="Bookman Old Style" w:hAnsi="Bookman Old Style"/>
          <w:sz w:val="28"/>
          <w:szCs w:val="28"/>
        </w:rPr>
        <w:t xml:space="preserve">’s </w:t>
      </w:r>
      <w:r>
        <w:rPr>
          <w:rFonts w:ascii="Bookman Old Style" w:hAnsi="Bookman Old Style"/>
          <w:sz w:val="28"/>
          <w:szCs w:val="28"/>
        </w:rPr>
        <w:lastRenderedPageBreak/>
        <w:t xml:space="preserve">daughter, by the </w:t>
      </w:r>
      <w:r w:rsidR="003509ED">
        <w:rPr>
          <w:rFonts w:ascii="Bookman Old Style" w:hAnsi="Bookman Old Style"/>
          <w:sz w:val="28"/>
          <w:szCs w:val="28"/>
        </w:rPr>
        <w:t>appellant</w:t>
      </w:r>
      <w:r>
        <w:rPr>
          <w:rFonts w:ascii="Bookman Old Style" w:hAnsi="Bookman Old Style"/>
          <w:sz w:val="28"/>
          <w:szCs w:val="28"/>
        </w:rPr>
        <w:t>s</w:t>
      </w:r>
      <w:r w:rsidR="003509ED">
        <w:rPr>
          <w:rFonts w:ascii="Bookman Old Style" w:hAnsi="Bookman Old Style"/>
          <w:sz w:val="28"/>
          <w:szCs w:val="28"/>
        </w:rPr>
        <w:t>’</w:t>
      </w:r>
      <w:r>
        <w:rPr>
          <w:rFonts w:ascii="Bookman Old Style" w:hAnsi="Bookman Old Style"/>
          <w:sz w:val="28"/>
          <w:szCs w:val="28"/>
        </w:rPr>
        <w:t xml:space="preserve"> son. If paid by money, one head of cattle would be worth Five Thousand </w:t>
      </w:r>
      <w:proofErr w:type="spellStart"/>
      <w:r>
        <w:rPr>
          <w:rFonts w:ascii="Bookman Old Style" w:hAnsi="Bookman Old Style"/>
          <w:sz w:val="28"/>
          <w:szCs w:val="28"/>
        </w:rPr>
        <w:t>Maluti</w:t>
      </w:r>
      <w:proofErr w:type="spellEnd"/>
      <w:r>
        <w:rPr>
          <w:rFonts w:ascii="Bookman Old Style" w:hAnsi="Bookman Old Style"/>
          <w:sz w:val="28"/>
          <w:szCs w:val="28"/>
        </w:rPr>
        <w:t xml:space="preserve"> (M5,000.00). If paid by means of sheep, one head of cattle would be equivalent to five sheep. If payment be made by goats, one head of cattle would be equivalent to six goats. The parties further agreed that, the </w:t>
      </w:r>
      <w:r w:rsidR="003509ED">
        <w:rPr>
          <w:rFonts w:ascii="Bookman Old Style" w:hAnsi="Bookman Old Style"/>
          <w:sz w:val="28"/>
          <w:szCs w:val="28"/>
        </w:rPr>
        <w:t>respondent</w:t>
      </w:r>
      <w:r>
        <w:rPr>
          <w:rFonts w:ascii="Bookman Old Style" w:hAnsi="Bookman Old Style"/>
          <w:sz w:val="28"/>
          <w:szCs w:val="28"/>
        </w:rPr>
        <w:t xml:space="preserve">’s daughter would remain in the </w:t>
      </w:r>
      <w:r w:rsidR="003509ED">
        <w:rPr>
          <w:rFonts w:ascii="Bookman Old Style" w:hAnsi="Bookman Old Style"/>
          <w:sz w:val="28"/>
          <w:szCs w:val="28"/>
        </w:rPr>
        <w:t>respondent</w:t>
      </w:r>
      <w:r>
        <w:rPr>
          <w:rFonts w:ascii="Bookman Old Style" w:hAnsi="Bookman Old Style"/>
          <w:sz w:val="28"/>
          <w:szCs w:val="28"/>
        </w:rPr>
        <w:t xml:space="preserve">’s custody.  </w:t>
      </w:r>
    </w:p>
    <w:p w14:paraId="4B0EF887" w14:textId="15222729" w:rsidR="00E67BDD" w:rsidRDefault="00EA31CC" w:rsidP="009C028E">
      <w:pPr>
        <w:numPr>
          <w:ilvl w:val="0"/>
          <w:numId w:val="4"/>
        </w:numPr>
        <w:spacing w:line="360" w:lineRule="auto"/>
        <w:contextualSpacing/>
        <w:jc w:val="both"/>
        <w:rPr>
          <w:rFonts w:ascii="Bookman Old Style" w:hAnsi="Bookman Old Style"/>
          <w:sz w:val="28"/>
          <w:szCs w:val="28"/>
        </w:rPr>
      </w:pPr>
      <w:r>
        <w:rPr>
          <w:rFonts w:ascii="Bookman Old Style" w:hAnsi="Bookman Old Style"/>
          <w:sz w:val="28"/>
          <w:szCs w:val="28"/>
        </w:rPr>
        <w:t>It was a further term of the said agreement that these cattle for damages, in the amount of M30,000</w:t>
      </w:r>
      <w:r w:rsidR="00E81FA4">
        <w:rPr>
          <w:rFonts w:ascii="Bookman Old Style" w:hAnsi="Bookman Old Style"/>
          <w:sz w:val="28"/>
          <w:szCs w:val="28"/>
        </w:rPr>
        <w:t>.00</w:t>
      </w:r>
      <w:r>
        <w:rPr>
          <w:rFonts w:ascii="Bookman Old Style" w:hAnsi="Bookman Old Style"/>
          <w:sz w:val="28"/>
          <w:szCs w:val="28"/>
        </w:rPr>
        <w:t xml:space="preserve"> or in the </w:t>
      </w:r>
      <w:proofErr w:type="gramStart"/>
      <w:r>
        <w:rPr>
          <w:rFonts w:ascii="Bookman Old Style" w:hAnsi="Bookman Old Style"/>
          <w:sz w:val="28"/>
          <w:szCs w:val="28"/>
        </w:rPr>
        <w:t xml:space="preserve">aforementioned </w:t>
      </w:r>
      <w:r w:rsidR="009C028E">
        <w:rPr>
          <w:rFonts w:ascii="Bookman Old Style" w:hAnsi="Bookman Old Style"/>
          <w:sz w:val="28"/>
          <w:szCs w:val="28"/>
        </w:rPr>
        <w:t>form</w:t>
      </w:r>
      <w:proofErr w:type="gramEnd"/>
      <w:r w:rsidR="00CF7116">
        <w:rPr>
          <w:rFonts w:ascii="Bookman Old Style" w:hAnsi="Bookman Old Style"/>
          <w:sz w:val="28"/>
          <w:szCs w:val="28"/>
        </w:rPr>
        <w:t>,</w:t>
      </w:r>
      <w:r w:rsidR="009C028E">
        <w:rPr>
          <w:rFonts w:ascii="Bookman Old Style" w:hAnsi="Bookman Old Style"/>
          <w:sz w:val="28"/>
          <w:szCs w:val="28"/>
        </w:rPr>
        <w:t xml:space="preserve"> would be paid to </w:t>
      </w:r>
      <w:r w:rsidR="003509ED">
        <w:rPr>
          <w:rFonts w:ascii="Bookman Old Style" w:hAnsi="Bookman Old Style"/>
          <w:sz w:val="28"/>
          <w:szCs w:val="28"/>
        </w:rPr>
        <w:t>respondent</w:t>
      </w:r>
      <w:r w:rsidR="009C028E">
        <w:rPr>
          <w:rFonts w:ascii="Bookman Old Style" w:hAnsi="Bookman Old Style"/>
          <w:sz w:val="28"/>
          <w:szCs w:val="28"/>
        </w:rPr>
        <w:t xml:space="preserve"> on or before the 28</w:t>
      </w:r>
      <w:r w:rsidR="009C028E" w:rsidRPr="009C028E">
        <w:rPr>
          <w:rFonts w:ascii="Bookman Old Style" w:hAnsi="Bookman Old Style"/>
          <w:sz w:val="28"/>
          <w:szCs w:val="28"/>
          <w:vertAlign w:val="superscript"/>
        </w:rPr>
        <w:t>th</w:t>
      </w:r>
      <w:r w:rsidR="009C028E">
        <w:rPr>
          <w:rFonts w:ascii="Bookman Old Style" w:hAnsi="Bookman Old Style"/>
          <w:sz w:val="28"/>
          <w:szCs w:val="28"/>
        </w:rPr>
        <w:t xml:space="preserve"> day of December 2017. </w:t>
      </w:r>
    </w:p>
    <w:p w14:paraId="2C0296C6" w14:textId="78A5CDDB" w:rsidR="009C028E" w:rsidRDefault="009C028E" w:rsidP="009C028E">
      <w:pPr>
        <w:numPr>
          <w:ilvl w:val="0"/>
          <w:numId w:val="4"/>
        </w:numPr>
        <w:spacing w:line="360" w:lineRule="auto"/>
        <w:contextualSpacing/>
        <w:jc w:val="both"/>
        <w:rPr>
          <w:rFonts w:ascii="Bookman Old Style" w:hAnsi="Bookman Old Style"/>
          <w:sz w:val="28"/>
          <w:szCs w:val="28"/>
        </w:rPr>
      </w:pPr>
      <w:r>
        <w:rPr>
          <w:rFonts w:ascii="Bookman Old Style" w:hAnsi="Bookman Old Style"/>
          <w:sz w:val="28"/>
          <w:szCs w:val="28"/>
        </w:rPr>
        <w:t xml:space="preserve">Failure by the </w:t>
      </w:r>
      <w:r w:rsidR="003509ED">
        <w:rPr>
          <w:rFonts w:ascii="Bookman Old Style" w:hAnsi="Bookman Old Style"/>
          <w:sz w:val="28"/>
          <w:szCs w:val="28"/>
        </w:rPr>
        <w:t>appellant</w:t>
      </w:r>
      <w:r>
        <w:rPr>
          <w:rFonts w:ascii="Bookman Old Style" w:hAnsi="Bookman Old Style"/>
          <w:sz w:val="28"/>
          <w:szCs w:val="28"/>
        </w:rPr>
        <w:t xml:space="preserve">s to comply with the agreement and to pay the </w:t>
      </w:r>
      <w:r w:rsidR="003509ED">
        <w:rPr>
          <w:rFonts w:ascii="Bookman Old Style" w:hAnsi="Bookman Old Style"/>
          <w:sz w:val="28"/>
          <w:szCs w:val="28"/>
        </w:rPr>
        <w:t>respondent</w:t>
      </w:r>
      <w:r>
        <w:rPr>
          <w:rFonts w:ascii="Bookman Old Style" w:hAnsi="Bookman Old Style"/>
          <w:sz w:val="28"/>
          <w:szCs w:val="28"/>
        </w:rPr>
        <w:t xml:space="preserve"> as agreed, it was alleged amounted to a breach of contract on the part of the </w:t>
      </w:r>
      <w:r w:rsidR="003509ED">
        <w:rPr>
          <w:rFonts w:ascii="Bookman Old Style" w:hAnsi="Bookman Old Style"/>
          <w:sz w:val="28"/>
          <w:szCs w:val="28"/>
        </w:rPr>
        <w:t>appellant</w:t>
      </w:r>
      <w:r>
        <w:rPr>
          <w:rFonts w:ascii="Bookman Old Style" w:hAnsi="Bookman Old Style"/>
          <w:sz w:val="28"/>
          <w:szCs w:val="28"/>
        </w:rPr>
        <w:t>s.</w:t>
      </w:r>
    </w:p>
    <w:p w14:paraId="04905DE8" w14:textId="208E7E1B" w:rsidR="009C028E" w:rsidRPr="009C028E" w:rsidRDefault="009C028E" w:rsidP="009C028E">
      <w:pPr>
        <w:numPr>
          <w:ilvl w:val="0"/>
          <w:numId w:val="4"/>
        </w:numPr>
        <w:spacing w:line="360" w:lineRule="auto"/>
        <w:contextualSpacing/>
        <w:jc w:val="both"/>
        <w:rPr>
          <w:rFonts w:ascii="Bookman Old Style" w:hAnsi="Bookman Old Style"/>
          <w:sz w:val="28"/>
          <w:szCs w:val="28"/>
        </w:rPr>
      </w:pPr>
      <w:r>
        <w:rPr>
          <w:rFonts w:ascii="Bookman Old Style" w:hAnsi="Bookman Old Style"/>
          <w:sz w:val="28"/>
          <w:szCs w:val="28"/>
        </w:rPr>
        <w:t>As indicated above, the High Court granted the summary judgment as prayed.</w:t>
      </w:r>
    </w:p>
    <w:p w14:paraId="7F5A0947" w14:textId="77777777" w:rsidR="004B5901" w:rsidRPr="004B5901" w:rsidRDefault="004B5901" w:rsidP="004B5901">
      <w:pPr>
        <w:spacing w:line="360" w:lineRule="auto"/>
        <w:jc w:val="both"/>
        <w:rPr>
          <w:rFonts w:ascii="Bookman Old Style" w:hAnsi="Bookman Old Style"/>
          <w:sz w:val="28"/>
          <w:szCs w:val="28"/>
        </w:rPr>
      </w:pPr>
      <w:r w:rsidRPr="004B5901">
        <w:rPr>
          <w:rFonts w:ascii="Bookman Old Style" w:hAnsi="Bookman Old Style"/>
          <w:b/>
          <w:bCs/>
          <w:sz w:val="28"/>
          <w:szCs w:val="28"/>
        </w:rPr>
        <w:t>The appeal</w:t>
      </w:r>
    </w:p>
    <w:p w14:paraId="35F940E5" w14:textId="4C7B8C9A" w:rsidR="00DA73D1" w:rsidRPr="005C74CF" w:rsidRDefault="009C028E" w:rsidP="005C74CF">
      <w:pPr>
        <w:numPr>
          <w:ilvl w:val="0"/>
          <w:numId w:val="4"/>
        </w:numPr>
        <w:spacing w:line="360" w:lineRule="auto"/>
        <w:contextualSpacing/>
        <w:jc w:val="both"/>
        <w:rPr>
          <w:rFonts w:ascii="Bookman Old Style" w:hAnsi="Bookman Old Style"/>
          <w:sz w:val="28"/>
          <w:szCs w:val="28"/>
        </w:rPr>
      </w:pPr>
      <w:r>
        <w:rPr>
          <w:rFonts w:ascii="Bookman Old Style" w:hAnsi="Bookman Old Style"/>
          <w:sz w:val="28"/>
          <w:szCs w:val="28"/>
        </w:rPr>
        <w:t xml:space="preserve">The </w:t>
      </w:r>
      <w:r w:rsidR="003509ED">
        <w:rPr>
          <w:rFonts w:ascii="Bookman Old Style" w:hAnsi="Bookman Old Style"/>
          <w:sz w:val="28"/>
          <w:szCs w:val="28"/>
        </w:rPr>
        <w:t>appellant</w:t>
      </w:r>
      <w:r>
        <w:rPr>
          <w:rFonts w:ascii="Bookman Old Style" w:hAnsi="Bookman Old Style"/>
          <w:sz w:val="28"/>
          <w:szCs w:val="28"/>
        </w:rPr>
        <w:t xml:space="preserve">s were dissatisfied with the judgment of the Court </w:t>
      </w:r>
      <w:r>
        <w:rPr>
          <w:rFonts w:ascii="Bookman Old Style" w:hAnsi="Bookman Old Style"/>
          <w:i/>
          <w:sz w:val="28"/>
          <w:szCs w:val="28"/>
        </w:rPr>
        <w:t>a quo</w:t>
      </w:r>
      <w:r>
        <w:rPr>
          <w:rFonts w:ascii="Bookman Old Style" w:hAnsi="Bookman Old Style"/>
          <w:sz w:val="28"/>
          <w:szCs w:val="28"/>
        </w:rPr>
        <w:t xml:space="preserve"> dated 12 June 2019. They therefore noted an appeal to this court against the decision to grant summary judgment to the </w:t>
      </w:r>
      <w:r w:rsidR="003509ED">
        <w:rPr>
          <w:rFonts w:ascii="Bookman Old Style" w:hAnsi="Bookman Old Style"/>
          <w:sz w:val="28"/>
          <w:szCs w:val="28"/>
        </w:rPr>
        <w:t>respondent</w:t>
      </w:r>
      <w:r>
        <w:rPr>
          <w:rFonts w:ascii="Bookman Old Style" w:hAnsi="Bookman Old Style"/>
          <w:sz w:val="28"/>
          <w:szCs w:val="28"/>
        </w:rPr>
        <w:t>. They presented four ground</w:t>
      </w:r>
      <w:r w:rsidR="00CF7116">
        <w:rPr>
          <w:rFonts w:ascii="Bookman Old Style" w:hAnsi="Bookman Old Style"/>
          <w:sz w:val="28"/>
          <w:szCs w:val="28"/>
        </w:rPr>
        <w:t>s</w:t>
      </w:r>
      <w:r>
        <w:rPr>
          <w:rFonts w:ascii="Bookman Old Style" w:hAnsi="Bookman Old Style"/>
          <w:sz w:val="28"/>
          <w:szCs w:val="28"/>
        </w:rPr>
        <w:t xml:space="preserve"> of appeal before this </w:t>
      </w:r>
      <w:r w:rsidR="00E81FA4">
        <w:rPr>
          <w:rFonts w:ascii="Bookman Old Style" w:hAnsi="Bookman Old Style"/>
          <w:sz w:val="28"/>
          <w:szCs w:val="28"/>
        </w:rPr>
        <w:t>C</w:t>
      </w:r>
      <w:r>
        <w:rPr>
          <w:rFonts w:ascii="Bookman Old Style" w:hAnsi="Bookman Old Style"/>
          <w:sz w:val="28"/>
          <w:szCs w:val="28"/>
        </w:rPr>
        <w:t xml:space="preserve">ourt. The first ground is that the </w:t>
      </w:r>
      <w:r w:rsidR="00CF7116">
        <w:rPr>
          <w:rFonts w:ascii="Bookman Old Style" w:hAnsi="Bookman Old Style"/>
          <w:sz w:val="28"/>
          <w:szCs w:val="28"/>
        </w:rPr>
        <w:t>c</w:t>
      </w:r>
      <w:r>
        <w:rPr>
          <w:rFonts w:ascii="Bookman Old Style" w:hAnsi="Bookman Old Style"/>
          <w:sz w:val="28"/>
          <w:szCs w:val="28"/>
        </w:rPr>
        <w:t xml:space="preserve">ourt </w:t>
      </w:r>
      <w:r w:rsidRPr="009C028E">
        <w:rPr>
          <w:rFonts w:ascii="Bookman Old Style" w:hAnsi="Bookman Old Style"/>
          <w:i/>
          <w:sz w:val="28"/>
          <w:szCs w:val="28"/>
        </w:rPr>
        <w:t>a quo</w:t>
      </w:r>
      <w:r>
        <w:rPr>
          <w:rFonts w:ascii="Bookman Old Style" w:hAnsi="Bookman Old Style"/>
          <w:sz w:val="28"/>
          <w:szCs w:val="28"/>
        </w:rPr>
        <w:t xml:space="preserve"> erred in granting summary judgment “which is essentially a customary law matter.” The second ground is that the </w:t>
      </w:r>
      <w:r w:rsidR="00CF7116">
        <w:rPr>
          <w:rFonts w:ascii="Bookman Old Style" w:hAnsi="Bookman Old Style"/>
          <w:sz w:val="28"/>
          <w:szCs w:val="28"/>
        </w:rPr>
        <w:t>c</w:t>
      </w:r>
      <w:r>
        <w:rPr>
          <w:rFonts w:ascii="Bookman Old Style" w:hAnsi="Bookman Old Style"/>
          <w:sz w:val="28"/>
          <w:szCs w:val="28"/>
        </w:rPr>
        <w:t>ourt erred in failing to apply the provisions of section 6 of the High Court Act, 1978. The third ground is th</w:t>
      </w:r>
      <w:r w:rsidR="005C74CF">
        <w:rPr>
          <w:rFonts w:ascii="Bookman Old Style" w:hAnsi="Bookman Old Style"/>
          <w:sz w:val="28"/>
          <w:szCs w:val="28"/>
        </w:rPr>
        <w:t>at the court erred in failing to</w:t>
      </w:r>
      <w:r>
        <w:rPr>
          <w:rFonts w:ascii="Bookman Old Style" w:hAnsi="Bookman Old Style"/>
          <w:sz w:val="28"/>
          <w:szCs w:val="28"/>
        </w:rPr>
        <w:t xml:space="preserve"> take into consideration that the parties</w:t>
      </w:r>
      <w:r w:rsidR="005C74CF">
        <w:rPr>
          <w:rFonts w:ascii="Bookman Old Style" w:hAnsi="Bookman Old Style"/>
          <w:sz w:val="28"/>
          <w:szCs w:val="28"/>
        </w:rPr>
        <w:t xml:space="preserve">’ main agreement was </w:t>
      </w:r>
      <w:r>
        <w:rPr>
          <w:rFonts w:ascii="Bookman Old Style" w:hAnsi="Bookman Old Style"/>
          <w:sz w:val="28"/>
          <w:szCs w:val="28"/>
        </w:rPr>
        <w:t>[</w:t>
      </w:r>
      <w:r w:rsidR="005C74CF">
        <w:rPr>
          <w:rFonts w:ascii="Bookman Old Style" w:hAnsi="Bookman Old Style"/>
          <w:sz w:val="28"/>
          <w:szCs w:val="28"/>
        </w:rPr>
        <w:t xml:space="preserve">about the payment of] six head of cattle, not liquid cash. The last ground </w:t>
      </w:r>
      <w:r w:rsidR="005C74CF">
        <w:rPr>
          <w:rFonts w:ascii="Bookman Old Style" w:hAnsi="Bookman Old Style"/>
          <w:sz w:val="28"/>
          <w:szCs w:val="28"/>
        </w:rPr>
        <w:lastRenderedPageBreak/>
        <w:t xml:space="preserve">is that the court erred in denying the </w:t>
      </w:r>
      <w:r w:rsidR="003509ED">
        <w:rPr>
          <w:rFonts w:ascii="Bookman Old Style" w:hAnsi="Bookman Old Style"/>
          <w:sz w:val="28"/>
          <w:szCs w:val="28"/>
        </w:rPr>
        <w:t>appellant</w:t>
      </w:r>
      <w:r w:rsidR="005C74CF">
        <w:rPr>
          <w:rFonts w:ascii="Bookman Old Style" w:hAnsi="Bookman Old Style"/>
          <w:sz w:val="28"/>
          <w:szCs w:val="28"/>
        </w:rPr>
        <w:t>s to liquidate the debt</w:t>
      </w:r>
      <w:r>
        <w:rPr>
          <w:rFonts w:ascii="Bookman Old Style" w:hAnsi="Bookman Old Style"/>
          <w:sz w:val="28"/>
          <w:szCs w:val="28"/>
        </w:rPr>
        <w:t xml:space="preserve"> </w:t>
      </w:r>
      <w:r w:rsidR="005C74CF">
        <w:rPr>
          <w:rFonts w:ascii="Bookman Old Style" w:hAnsi="Bookman Old Style"/>
          <w:sz w:val="28"/>
          <w:szCs w:val="28"/>
        </w:rPr>
        <w:t>in any manner chosen by them as provided for under the agreement, that is: (a) cattle, (b) sheep, and (c) goats.</w:t>
      </w:r>
    </w:p>
    <w:p w14:paraId="464706B0" w14:textId="363B530E" w:rsidR="00D91A9B" w:rsidRPr="00DA73D1" w:rsidRDefault="00D91A9B" w:rsidP="00DA73D1">
      <w:pPr>
        <w:spacing w:line="360" w:lineRule="auto"/>
        <w:contextualSpacing/>
        <w:jc w:val="both"/>
        <w:rPr>
          <w:rFonts w:ascii="Bookman Old Style" w:hAnsi="Bookman Old Style"/>
          <w:b/>
          <w:iCs/>
          <w:sz w:val="28"/>
          <w:szCs w:val="28"/>
        </w:rPr>
      </w:pPr>
      <w:r w:rsidRPr="00DA73D1">
        <w:rPr>
          <w:rFonts w:ascii="Bookman Old Style" w:hAnsi="Bookman Old Style"/>
          <w:b/>
          <w:iCs/>
          <w:sz w:val="28"/>
          <w:szCs w:val="28"/>
        </w:rPr>
        <w:t>Issues</w:t>
      </w:r>
    </w:p>
    <w:p w14:paraId="153001F9" w14:textId="3ABD0830" w:rsidR="00D91A9B" w:rsidRPr="00D91A9B" w:rsidRDefault="00D91A9B" w:rsidP="00D91A9B">
      <w:pPr>
        <w:spacing w:line="360" w:lineRule="auto"/>
        <w:jc w:val="both"/>
        <w:rPr>
          <w:rFonts w:ascii="Bookman Old Style" w:hAnsi="Bookman Old Style"/>
          <w:sz w:val="28"/>
          <w:szCs w:val="28"/>
        </w:rPr>
      </w:pPr>
      <w:r>
        <w:rPr>
          <w:rFonts w:ascii="Bookman Old Style" w:hAnsi="Bookman Old Style"/>
          <w:iCs/>
          <w:sz w:val="28"/>
          <w:szCs w:val="28"/>
        </w:rPr>
        <w:t xml:space="preserve">13. </w:t>
      </w:r>
      <w:r w:rsidRPr="00D91A9B">
        <w:rPr>
          <w:rFonts w:ascii="Bookman Old Style" w:hAnsi="Bookman Old Style"/>
          <w:iCs/>
          <w:sz w:val="28"/>
          <w:szCs w:val="28"/>
        </w:rPr>
        <w:t>The following questions require determination:</w:t>
      </w:r>
    </w:p>
    <w:p w14:paraId="484C1DC3" w14:textId="3ACDDB51" w:rsidR="00FA2A3E" w:rsidRDefault="00FA2A3E" w:rsidP="00BA1DD0">
      <w:pPr>
        <w:numPr>
          <w:ilvl w:val="0"/>
          <w:numId w:val="6"/>
        </w:numPr>
        <w:spacing w:line="360" w:lineRule="auto"/>
        <w:jc w:val="both"/>
        <w:rPr>
          <w:rFonts w:ascii="Bookman Old Style" w:hAnsi="Bookman Old Style"/>
          <w:sz w:val="28"/>
          <w:szCs w:val="28"/>
        </w:rPr>
      </w:pPr>
      <w:r>
        <w:rPr>
          <w:rFonts w:ascii="Bookman Old Style" w:hAnsi="Bookman Old Style"/>
          <w:sz w:val="28"/>
          <w:szCs w:val="28"/>
        </w:rPr>
        <w:t xml:space="preserve">Whether the High Court </w:t>
      </w:r>
      <w:r w:rsidR="009E6B5F">
        <w:rPr>
          <w:rFonts w:ascii="Bookman Old Style" w:hAnsi="Bookman Old Style"/>
          <w:sz w:val="28"/>
          <w:szCs w:val="28"/>
        </w:rPr>
        <w:t xml:space="preserve">erred in </w:t>
      </w:r>
      <w:r w:rsidR="005947E6" w:rsidRPr="005947E6">
        <w:rPr>
          <w:rFonts w:ascii="Bookman Old Style" w:hAnsi="Bookman Old Style"/>
          <w:sz w:val="28"/>
          <w:szCs w:val="28"/>
        </w:rPr>
        <w:t>failing to apply the provisions of section 6 of the High Court Act, 1978.</w:t>
      </w:r>
    </w:p>
    <w:p w14:paraId="168AF6EA" w14:textId="77777777" w:rsidR="005947E6" w:rsidRPr="005947E6" w:rsidRDefault="00BA1DD0" w:rsidP="00FB0B06">
      <w:pPr>
        <w:numPr>
          <w:ilvl w:val="0"/>
          <w:numId w:val="6"/>
        </w:numPr>
        <w:spacing w:line="360" w:lineRule="auto"/>
        <w:jc w:val="both"/>
        <w:rPr>
          <w:rFonts w:ascii="Bookman Old Style" w:hAnsi="Bookman Old Style"/>
          <w:b/>
          <w:sz w:val="28"/>
          <w:szCs w:val="28"/>
        </w:rPr>
      </w:pPr>
      <w:r w:rsidRPr="008A4D3D">
        <w:rPr>
          <w:rFonts w:ascii="Bookman Old Style" w:hAnsi="Bookman Old Style"/>
          <w:sz w:val="28"/>
          <w:szCs w:val="28"/>
        </w:rPr>
        <w:t xml:space="preserve">Whether </w:t>
      </w:r>
      <w:r w:rsidR="009E6B5F" w:rsidRPr="008A4D3D">
        <w:rPr>
          <w:rFonts w:ascii="Bookman Old Style" w:hAnsi="Bookman Old Style"/>
          <w:sz w:val="28"/>
          <w:szCs w:val="28"/>
        </w:rPr>
        <w:t xml:space="preserve">the learned judge erred in </w:t>
      </w:r>
      <w:r w:rsidR="005947E6" w:rsidRPr="008A4D3D">
        <w:rPr>
          <w:rFonts w:ascii="Bookman Old Style" w:hAnsi="Bookman Old Style"/>
          <w:sz w:val="28"/>
          <w:szCs w:val="28"/>
        </w:rPr>
        <w:t>denying the appellants to liquidate</w:t>
      </w:r>
      <w:r w:rsidR="005947E6" w:rsidRPr="005947E6">
        <w:rPr>
          <w:rFonts w:ascii="Bookman Old Style" w:hAnsi="Bookman Old Style"/>
          <w:sz w:val="28"/>
          <w:szCs w:val="28"/>
        </w:rPr>
        <w:t xml:space="preserve"> the debt in any manner chosen by them as provided for under the agreement, that is: (a) cattle, (b) sheep, and (c) goats.</w:t>
      </w:r>
    </w:p>
    <w:p w14:paraId="562653D6" w14:textId="6C2F35F6" w:rsidR="004B5901" w:rsidRPr="005947E6" w:rsidRDefault="004B5901" w:rsidP="005947E6">
      <w:pPr>
        <w:spacing w:line="360" w:lineRule="auto"/>
        <w:jc w:val="both"/>
        <w:rPr>
          <w:rFonts w:ascii="Bookman Old Style" w:hAnsi="Bookman Old Style"/>
          <w:b/>
          <w:sz w:val="28"/>
          <w:szCs w:val="28"/>
        </w:rPr>
      </w:pPr>
      <w:r w:rsidRPr="005947E6">
        <w:rPr>
          <w:rFonts w:ascii="Bookman Old Style" w:hAnsi="Bookman Old Style"/>
          <w:b/>
          <w:sz w:val="28"/>
          <w:szCs w:val="28"/>
        </w:rPr>
        <w:t>The law</w:t>
      </w:r>
    </w:p>
    <w:p w14:paraId="53F5DF6E" w14:textId="35B52B1B" w:rsidR="0075481D" w:rsidRDefault="008A40C9" w:rsidP="00385588">
      <w:pPr>
        <w:pStyle w:val="ListParagraph"/>
        <w:numPr>
          <w:ilvl w:val="1"/>
          <w:numId w:val="6"/>
        </w:numPr>
        <w:spacing w:line="360" w:lineRule="auto"/>
        <w:ind w:left="448" w:hanging="448"/>
        <w:jc w:val="both"/>
        <w:rPr>
          <w:rFonts w:ascii="Bookman Old Style" w:hAnsi="Bookman Old Style"/>
          <w:sz w:val="28"/>
          <w:szCs w:val="28"/>
        </w:rPr>
      </w:pPr>
      <w:r w:rsidRPr="0026568B">
        <w:rPr>
          <w:rFonts w:ascii="Bookman Old Style" w:hAnsi="Bookman Old Style"/>
          <w:sz w:val="28"/>
          <w:szCs w:val="28"/>
        </w:rPr>
        <w:t xml:space="preserve">It is prudent to sketch the legal </w:t>
      </w:r>
      <w:r w:rsidR="004752C7">
        <w:rPr>
          <w:rFonts w:ascii="Bookman Old Style" w:hAnsi="Bookman Old Style"/>
          <w:sz w:val="28"/>
          <w:szCs w:val="28"/>
        </w:rPr>
        <w:t xml:space="preserve">principles applicable to the resolution of this </w:t>
      </w:r>
      <w:r w:rsidR="00012EF9">
        <w:rPr>
          <w:rFonts w:ascii="Bookman Old Style" w:hAnsi="Bookman Old Style"/>
          <w:sz w:val="28"/>
          <w:szCs w:val="28"/>
        </w:rPr>
        <w:t xml:space="preserve">appeal. In Lesotho, </w:t>
      </w:r>
      <w:r w:rsidR="00012EF9" w:rsidRPr="00012EF9">
        <w:rPr>
          <w:rFonts w:ascii="Bookman Old Style" w:hAnsi="Bookman Old Style"/>
          <w:sz w:val="28"/>
          <w:szCs w:val="28"/>
        </w:rPr>
        <w:t>the lowest customary court is the Local</w:t>
      </w:r>
      <w:r w:rsidR="00012EF9" w:rsidRPr="00012EF9">
        <w:rPr>
          <w:rFonts w:ascii="Arial" w:hAnsi="Arial" w:cs="Arial"/>
          <w:color w:val="333333"/>
          <w:sz w:val="27"/>
          <w:szCs w:val="27"/>
          <w:shd w:val="clear" w:color="auto" w:fill="FFFFFF"/>
        </w:rPr>
        <w:t xml:space="preserve"> </w:t>
      </w:r>
      <w:r w:rsidR="00012EF9" w:rsidRPr="00012EF9">
        <w:rPr>
          <w:rFonts w:ascii="Bookman Old Style" w:hAnsi="Bookman Old Style"/>
          <w:sz w:val="28"/>
          <w:szCs w:val="28"/>
        </w:rPr>
        <w:t>Court. The</w:t>
      </w:r>
      <w:r w:rsidR="00012EF9" w:rsidRPr="00012EF9">
        <w:rPr>
          <w:rFonts w:ascii="Arial" w:hAnsi="Arial" w:cs="Arial"/>
          <w:color w:val="333333"/>
          <w:sz w:val="27"/>
          <w:szCs w:val="27"/>
          <w:shd w:val="clear" w:color="auto" w:fill="FFFFFF"/>
        </w:rPr>
        <w:t xml:space="preserve"> </w:t>
      </w:r>
      <w:r w:rsidR="00012EF9" w:rsidRPr="00012EF9">
        <w:rPr>
          <w:rFonts w:ascii="Bookman Old Style" w:hAnsi="Bookman Old Style"/>
          <w:sz w:val="28"/>
          <w:szCs w:val="28"/>
        </w:rPr>
        <w:t>court in the hierarchy of customary</w:t>
      </w:r>
      <w:r w:rsidR="00012EF9" w:rsidRPr="00012EF9">
        <w:rPr>
          <w:rFonts w:ascii="Arial" w:hAnsi="Arial" w:cs="Arial"/>
          <w:color w:val="333333"/>
          <w:sz w:val="27"/>
          <w:szCs w:val="27"/>
          <w:shd w:val="clear" w:color="auto" w:fill="FFFFFF"/>
        </w:rPr>
        <w:t xml:space="preserve"> </w:t>
      </w:r>
      <w:r w:rsidR="00012EF9" w:rsidRPr="00012EF9">
        <w:rPr>
          <w:rFonts w:ascii="Bookman Old Style" w:hAnsi="Bookman Old Style"/>
          <w:sz w:val="28"/>
          <w:szCs w:val="28"/>
        </w:rPr>
        <w:t>courts which is superior to the</w:t>
      </w:r>
      <w:r w:rsidR="00012EF9" w:rsidRPr="00012EF9">
        <w:rPr>
          <w:rFonts w:ascii="Arial" w:hAnsi="Arial" w:cs="Arial"/>
          <w:color w:val="333333"/>
          <w:sz w:val="27"/>
          <w:szCs w:val="27"/>
          <w:shd w:val="clear" w:color="auto" w:fill="FFFFFF"/>
        </w:rPr>
        <w:t xml:space="preserve"> </w:t>
      </w:r>
      <w:r w:rsidR="00012EF9" w:rsidRPr="00012EF9">
        <w:rPr>
          <w:rFonts w:ascii="Bookman Old Style" w:hAnsi="Bookman Old Style"/>
          <w:sz w:val="28"/>
          <w:szCs w:val="28"/>
        </w:rPr>
        <w:t>Local Court is the Central Court</w:t>
      </w:r>
      <w:r w:rsidR="00012EF9">
        <w:rPr>
          <w:rFonts w:ascii="Bookman Old Style" w:hAnsi="Bookman Old Style"/>
          <w:sz w:val="28"/>
          <w:szCs w:val="28"/>
        </w:rPr>
        <w:t>.</w:t>
      </w:r>
      <w:r w:rsidR="00012EF9" w:rsidRPr="00012EF9">
        <w:rPr>
          <w:rFonts w:ascii="Arial" w:hAnsi="Arial" w:cs="Arial"/>
          <w:color w:val="333333"/>
          <w:sz w:val="27"/>
          <w:szCs w:val="27"/>
          <w:shd w:val="clear" w:color="auto" w:fill="FFFFFF"/>
        </w:rPr>
        <w:t xml:space="preserve"> </w:t>
      </w:r>
      <w:r w:rsidR="00012EF9" w:rsidRPr="00012EF9">
        <w:rPr>
          <w:rFonts w:ascii="Bookman Old Style" w:hAnsi="Bookman Old Style"/>
          <w:sz w:val="28"/>
          <w:szCs w:val="28"/>
        </w:rPr>
        <w:t>The Central</w:t>
      </w:r>
      <w:r w:rsidR="00012EF9" w:rsidRPr="00012EF9">
        <w:rPr>
          <w:rFonts w:ascii="Arial" w:hAnsi="Arial" w:cs="Arial"/>
          <w:color w:val="333333"/>
          <w:sz w:val="27"/>
          <w:szCs w:val="27"/>
          <w:shd w:val="clear" w:color="auto" w:fill="FFFFFF"/>
        </w:rPr>
        <w:t xml:space="preserve"> </w:t>
      </w:r>
      <w:r w:rsidR="00012EF9" w:rsidRPr="00012EF9">
        <w:rPr>
          <w:rFonts w:ascii="Bookman Old Style" w:hAnsi="Bookman Old Style"/>
          <w:sz w:val="28"/>
          <w:szCs w:val="28"/>
        </w:rPr>
        <w:t>Court hears appeals from the</w:t>
      </w:r>
      <w:r w:rsidR="00012EF9" w:rsidRPr="00012EF9">
        <w:rPr>
          <w:rFonts w:ascii="Arial" w:hAnsi="Arial" w:cs="Arial"/>
          <w:color w:val="333333"/>
          <w:sz w:val="27"/>
          <w:szCs w:val="27"/>
          <w:shd w:val="clear" w:color="auto" w:fill="FFFFFF"/>
        </w:rPr>
        <w:t xml:space="preserve"> </w:t>
      </w:r>
      <w:r w:rsidR="00012EF9" w:rsidRPr="00012EF9">
        <w:rPr>
          <w:rFonts w:ascii="Bookman Old Style" w:hAnsi="Bookman Old Style"/>
          <w:sz w:val="28"/>
          <w:szCs w:val="28"/>
        </w:rPr>
        <w:t>Local Court and has original</w:t>
      </w:r>
      <w:r w:rsidR="00012EF9" w:rsidRPr="00012EF9">
        <w:rPr>
          <w:rFonts w:ascii="Arial" w:hAnsi="Arial" w:cs="Arial"/>
          <w:color w:val="333333"/>
          <w:sz w:val="27"/>
          <w:szCs w:val="27"/>
          <w:shd w:val="clear" w:color="auto" w:fill="FFFFFF"/>
        </w:rPr>
        <w:t xml:space="preserve"> </w:t>
      </w:r>
      <w:r w:rsidR="00012EF9" w:rsidRPr="00012EF9">
        <w:rPr>
          <w:rFonts w:ascii="Bookman Old Style" w:hAnsi="Bookman Old Style"/>
          <w:sz w:val="28"/>
          <w:szCs w:val="28"/>
        </w:rPr>
        <w:t>jurisdiction for claims of a</w:t>
      </w:r>
      <w:r w:rsidR="00012EF9" w:rsidRPr="00012EF9">
        <w:rPr>
          <w:rFonts w:ascii="Arial" w:hAnsi="Arial" w:cs="Arial"/>
          <w:color w:val="333333"/>
          <w:sz w:val="27"/>
          <w:szCs w:val="27"/>
          <w:shd w:val="clear" w:color="auto" w:fill="FFFFFF"/>
        </w:rPr>
        <w:t xml:space="preserve"> </w:t>
      </w:r>
      <w:r w:rsidR="00012EF9" w:rsidRPr="00012EF9">
        <w:rPr>
          <w:rFonts w:ascii="Bookman Old Style" w:hAnsi="Bookman Old Style"/>
          <w:sz w:val="28"/>
          <w:szCs w:val="28"/>
        </w:rPr>
        <w:t xml:space="preserve">greater monetary </w:t>
      </w:r>
      <w:r w:rsidR="00904F11">
        <w:rPr>
          <w:rFonts w:ascii="Bookman Old Style" w:hAnsi="Bookman Old Style"/>
          <w:sz w:val="28"/>
          <w:szCs w:val="28"/>
        </w:rPr>
        <w:t xml:space="preserve">value </w:t>
      </w:r>
      <w:r w:rsidR="00012EF9" w:rsidRPr="00012EF9">
        <w:rPr>
          <w:rFonts w:ascii="Bookman Old Style" w:hAnsi="Bookman Old Style"/>
          <w:sz w:val="28"/>
          <w:szCs w:val="28"/>
        </w:rPr>
        <w:t>than those of</w:t>
      </w:r>
      <w:r w:rsidR="00012EF9" w:rsidRPr="00012EF9">
        <w:rPr>
          <w:rFonts w:ascii="Arial" w:hAnsi="Arial" w:cs="Arial"/>
          <w:color w:val="333333"/>
          <w:sz w:val="27"/>
          <w:szCs w:val="27"/>
          <w:shd w:val="clear" w:color="auto" w:fill="FFFFFF"/>
        </w:rPr>
        <w:t xml:space="preserve"> </w:t>
      </w:r>
      <w:r w:rsidR="00012EF9" w:rsidRPr="00012EF9">
        <w:rPr>
          <w:rFonts w:ascii="Bookman Old Style" w:hAnsi="Bookman Old Style"/>
          <w:sz w:val="28"/>
          <w:szCs w:val="28"/>
        </w:rPr>
        <w:t>the Local Court.</w:t>
      </w:r>
    </w:p>
    <w:p w14:paraId="0B98AE64" w14:textId="3FED06E1" w:rsidR="00E77D24" w:rsidRPr="0040240E" w:rsidRDefault="0075481D" w:rsidP="0040240E">
      <w:pPr>
        <w:pStyle w:val="ListParagraph"/>
        <w:numPr>
          <w:ilvl w:val="1"/>
          <w:numId w:val="6"/>
        </w:numPr>
        <w:spacing w:line="360" w:lineRule="auto"/>
        <w:ind w:left="448" w:hanging="448"/>
        <w:jc w:val="both"/>
        <w:rPr>
          <w:rFonts w:ascii="Bookman Old Style" w:hAnsi="Bookman Old Style" w:cs="Arial"/>
          <w:color w:val="333333"/>
          <w:sz w:val="28"/>
          <w:szCs w:val="28"/>
          <w:shd w:val="clear" w:color="auto" w:fill="FFFFFF"/>
        </w:rPr>
      </w:pPr>
      <w:r w:rsidRPr="002E50BB">
        <w:rPr>
          <w:rFonts w:ascii="Bookman Old Style" w:hAnsi="Bookman Old Style"/>
          <w:sz w:val="28"/>
          <w:szCs w:val="28"/>
        </w:rPr>
        <w:t>Section</w:t>
      </w:r>
      <w:r w:rsidR="00E77D24" w:rsidRPr="002E50BB">
        <w:rPr>
          <w:rFonts w:ascii="Bookman Old Style" w:hAnsi="Bookman Old Style"/>
          <w:sz w:val="28"/>
          <w:szCs w:val="28"/>
        </w:rPr>
        <w:t xml:space="preserve"> </w:t>
      </w:r>
      <w:r w:rsidRPr="002E50BB">
        <w:rPr>
          <w:rFonts w:ascii="Bookman Old Style" w:hAnsi="Bookman Old Style"/>
          <w:sz w:val="28"/>
          <w:szCs w:val="28"/>
        </w:rPr>
        <w:t>6</w:t>
      </w:r>
      <w:r w:rsidR="00E77D24" w:rsidRPr="002E50BB">
        <w:rPr>
          <w:rFonts w:ascii="Bookman Old Style" w:hAnsi="Bookman Old Style"/>
          <w:sz w:val="28"/>
          <w:szCs w:val="28"/>
        </w:rPr>
        <w:t xml:space="preserve"> </w:t>
      </w:r>
      <w:r w:rsidRPr="002E50BB">
        <w:rPr>
          <w:rFonts w:ascii="Bookman Old Style" w:hAnsi="Bookman Old Style"/>
          <w:sz w:val="28"/>
          <w:szCs w:val="28"/>
        </w:rPr>
        <w:t>of the High Court Act provides that "</w:t>
      </w:r>
      <w:r w:rsidR="00E77D24" w:rsidRPr="002E50BB">
        <w:rPr>
          <w:rFonts w:ascii="Bookman Old Style" w:hAnsi="Bookman Old Style"/>
          <w:sz w:val="28"/>
          <w:szCs w:val="28"/>
        </w:rPr>
        <w:t>[n]</w:t>
      </w:r>
      <w:r w:rsidRPr="002E50BB">
        <w:rPr>
          <w:rFonts w:ascii="Bookman Old Style" w:hAnsi="Bookman Old Style"/>
          <w:sz w:val="28"/>
          <w:szCs w:val="28"/>
        </w:rPr>
        <w:t>o civil</w:t>
      </w:r>
      <w:r w:rsidR="00E77D24" w:rsidRPr="002E50BB">
        <w:rPr>
          <w:rFonts w:ascii="Bookman Old Style" w:hAnsi="Bookman Old Style"/>
          <w:sz w:val="28"/>
          <w:szCs w:val="28"/>
        </w:rPr>
        <w:t xml:space="preserve"> </w:t>
      </w:r>
      <w:r w:rsidRPr="002E50BB">
        <w:rPr>
          <w:rFonts w:ascii="Bookman Old Style" w:hAnsi="Bookman Old Style"/>
          <w:sz w:val="28"/>
          <w:szCs w:val="28"/>
        </w:rPr>
        <w:t>cause</w:t>
      </w:r>
      <w:r w:rsidR="00E77D24" w:rsidRPr="002E50BB">
        <w:rPr>
          <w:rFonts w:ascii="Bookman Old Style" w:hAnsi="Bookman Old Style"/>
          <w:sz w:val="28"/>
          <w:szCs w:val="28"/>
        </w:rPr>
        <w:t xml:space="preserve"> </w:t>
      </w:r>
      <w:r w:rsidRPr="002E50BB">
        <w:rPr>
          <w:rFonts w:ascii="Bookman Old Style" w:hAnsi="Bookman Old Style"/>
          <w:sz w:val="28"/>
          <w:szCs w:val="28"/>
        </w:rPr>
        <w:t>or action within the jurisdiction of a subordinate</w:t>
      </w:r>
      <w:r w:rsidRPr="002E50BB">
        <w:rPr>
          <w:rFonts w:ascii="Bookman Old Style" w:hAnsi="Bookman Old Style"/>
          <w:sz w:val="28"/>
          <w:szCs w:val="28"/>
        </w:rPr>
        <w:br/>
        <w:t>court</w:t>
      </w:r>
      <w:r w:rsidR="00E77D24" w:rsidRPr="002E50BB">
        <w:rPr>
          <w:rFonts w:ascii="Bookman Old Style" w:hAnsi="Bookman Old Style"/>
          <w:sz w:val="28"/>
          <w:szCs w:val="28"/>
        </w:rPr>
        <w:t xml:space="preserve"> </w:t>
      </w:r>
      <w:r w:rsidRPr="002E50BB">
        <w:rPr>
          <w:rFonts w:ascii="Bookman Old Style" w:hAnsi="Bookman Old Style"/>
          <w:sz w:val="28"/>
          <w:szCs w:val="28"/>
        </w:rPr>
        <w:t>shall</w:t>
      </w:r>
      <w:r w:rsidR="00E77D24" w:rsidRPr="002E50BB">
        <w:rPr>
          <w:rFonts w:ascii="Bookman Old Style" w:hAnsi="Bookman Old Style"/>
          <w:sz w:val="28"/>
          <w:szCs w:val="28"/>
        </w:rPr>
        <w:t xml:space="preserve"> </w:t>
      </w:r>
      <w:r w:rsidRPr="002E50BB">
        <w:rPr>
          <w:rFonts w:ascii="Bookman Old Style" w:hAnsi="Bookman Old Style"/>
          <w:sz w:val="28"/>
          <w:szCs w:val="28"/>
        </w:rPr>
        <w:t>be</w:t>
      </w:r>
      <w:r w:rsidR="00E77D24" w:rsidRPr="002E50BB">
        <w:rPr>
          <w:rFonts w:ascii="Bookman Old Style" w:hAnsi="Bookman Old Style"/>
          <w:sz w:val="28"/>
          <w:szCs w:val="28"/>
        </w:rPr>
        <w:t xml:space="preserve"> </w:t>
      </w:r>
      <w:r w:rsidRPr="002E50BB">
        <w:rPr>
          <w:rFonts w:ascii="Bookman Old Style" w:hAnsi="Bookman Old Style"/>
          <w:sz w:val="28"/>
          <w:szCs w:val="28"/>
        </w:rPr>
        <w:t>instituted in or removed into the High Court save by</w:t>
      </w:r>
      <w:r w:rsidR="00E77D24" w:rsidRPr="002E50BB">
        <w:rPr>
          <w:rFonts w:ascii="Bookman Old Style" w:hAnsi="Bookman Old Style"/>
          <w:sz w:val="28"/>
          <w:szCs w:val="28"/>
        </w:rPr>
        <w:t xml:space="preserve"> </w:t>
      </w:r>
      <w:r w:rsidRPr="002E50BB">
        <w:rPr>
          <w:rFonts w:ascii="Bookman Old Style" w:hAnsi="Bookman Old Style"/>
          <w:sz w:val="28"/>
          <w:szCs w:val="28"/>
        </w:rPr>
        <w:t>a</w:t>
      </w:r>
      <w:r w:rsidR="00E77D24" w:rsidRPr="002E50BB">
        <w:rPr>
          <w:rFonts w:ascii="Bookman Old Style" w:hAnsi="Bookman Old Style"/>
          <w:sz w:val="28"/>
          <w:szCs w:val="28"/>
        </w:rPr>
        <w:t xml:space="preserve"> </w:t>
      </w:r>
      <w:r w:rsidRPr="002E50BB">
        <w:rPr>
          <w:rFonts w:ascii="Bookman Old Style" w:hAnsi="Bookman Old Style"/>
          <w:sz w:val="28"/>
          <w:szCs w:val="28"/>
        </w:rPr>
        <w:t>Judge of the High Court acting on his own motion; or with</w:t>
      </w:r>
      <w:r w:rsidRPr="002E50BB">
        <w:rPr>
          <w:rFonts w:ascii="Bookman Old Style" w:hAnsi="Bookman Old Style"/>
          <w:sz w:val="28"/>
          <w:szCs w:val="28"/>
        </w:rPr>
        <w:br/>
        <w:t>leave of a Judge upon application made to him in chambers and</w:t>
      </w:r>
      <w:r w:rsidR="00E77D24" w:rsidRPr="002E50BB">
        <w:rPr>
          <w:rFonts w:ascii="Bookman Old Style" w:hAnsi="Bookman Old Style"/>
          <w:sz w:val="28"/>
          <w:szCs w:val="28"/>
        </w:rPr>
        <w:t xml:space="preserve"> </w:t>
      </w:r>
      <w:r w:rsidRPr="002E50BB">
        <w:rPr>
          <w:rFonts w:ascii="Bookman Old Style" w:hAnsi="Bookman Old Style"/>
          <w:sz w:val="28"/>
          <w:szCs w:val="28"/>
        </w:rPr>
        <w:t>after</w:t>
      </w:r>
      <w:r w:rsidR="00E77D24" w:rsidRPr="002E50BB">
        <w:rPr>
          <w:rFonts w:ascii="Bookman Old Style" w:hAnsi="Bookman Old Style"/>
          <w:sz w:val="28"/>
          <w:szCs w:val="28"/>
        </w:rPr>
        <w:t xml:space="preserve"> </w:t>
      </w:r>
      <w:r w:rsidRPr="002E50BB">
        <w:rPr>
          <w:rFonts w:ascii="Bookman Old Style" w:hAnsi="Bookman Old Style"/>
          <w:sz w:val="28"/>
          <w:szCs w:val="28"/>
        </w:rPr>
        <w:t>notice to the other party."</w:t>
      </w:r>
      <w:r w:rsidR="00E77D24" w:rsidRPr="002E50BB">
        <w:rPr>
          <w:rStyle w:val="FootnoteReference"/>
          <w:rFonts w:ascii="Bookman Old Style" w:hAnsi="Bookman Old Style"/>
          <w:sz w:val="28"/>
          <w:szCs w:val="28"/>
        </w:rPr>
        <w:footnoteReference w:id="1"/>
      </w:r>
      <w:r w:rsidR="00E77D24" w:rsidRPr="002E50BB">
        <w:rPr>
          <w:rFonts w:ascii="Bookman Old Style" w:hAnsi="Bookman Old Style" w:cs="Arial"/>
          <w:color w:val="333333"/>
          <w:sz w:val="28"/>
          <w:szCs w:val="28"/>
          <w:shd w:val="clear" w:color="auto" w:fill="FFFFFF"/>
        </w:rPr>
        <w:t xml:space="preserve"> </w:t>
      </w:r>
      <w:r w:rsidR="00F93242" w:rsidRPr="002E50BB">
        <w:rPr>
          <w:rFonts w:ascii="Bookman Old Style" w:hAnsi="Bookman Old Style" w:cs="Arial"/>
          <w:color w:val="333333"/>
          <w:sz w:val="28"/>
          <w:szCs w:val="28"/>
          <w:shd w:val="clear" w:color="auto" w:fill="FFFFFF"/>
        </w:rPr>
        <w:t xml:space="preserve">It is common cause that </w:t>
      </w:r>
      <w:r w:rsidR="008A4D3D" w:rsidRPr="002E50BB">
        <w:rPr>
          <w:rFonts w:ascii="Bookman Old Style" w:hAnsi="Bookman Old Style" w:cs="Arial"/>
          <w:color w:val="333333"/>
          <w:sz w:val="28"/>
          <w:szCs w:val="28"/>
          <w:shd w:val="clear" w:color="auto" w:fill="FFFFFF"/>
        </w:rPr>
        <w:lastRenderedPageBreak/>
        <w:t>no such leave</w:t>
      </w:r>
      <w:r w:rsidR="002E50BB" w:rsidRPr="002E50BB">
        <w:rPr>
          <w:rFonts w:ascii="Bookman Old Style" w:hAnsi="Bookman Old Style" w:cs="Arial"/>
          <w:color w:val="333333"/>
          <w:sz w:val="28"/>
          <w:szCs w:val="28"/>
          <w:shd w:val="clear" w:color="auto" w:fill="FFFFFF"/>
        </w:rPr>
        <w:t xml:space="preserve"> </w:t>
      </w:r>
      <w:r w:rsidR="008A4D3D" w:rsidRPr="002E50BB">
        <w:rPr>
          <w:rFonts w:ascii="Bookman Old Style" w:hAnsi="Bookman Old Style" w:cs="Arial"/>
          <w:color w:val="333333"/>
          <w:sz w:val="28"/>
          <w:szCs w:val="28"/>
          <w:shd w:val="clear" w:color="auto" w:fill="FFFFFF"/>
        </w:rPr>
        <w:t>was obtained</w:t>
      </w:r>
      <w:r w:rsidR="002E50BB" w:rsidRPr="002E50BB">
        <w:rPr>
          <w:rFonts w:ascii="Bookman Old Style" w:hAnsi="Bookman Old Style" w:cs="Arial"/>
          <w:color w:val="333333"/>
          <w:sz w:val="28"/>
          <w:szCs w:val="28"/>
          <w:shd w:val="clear" w:color="auto" w:fill="FFFFFF"/>
        </w:rPr>
        <w:t xml:space="preserve">. </w:t>
      </w:r>
      <w:r w:rsidR="00F93242">
        <w:rPr>
          <w:rFonts w:ascii="Bookman Old Style" w:hAnsi="Bookman Old Style" w:cs="Arial"/>
          <w:color w:val="333333"/>
          <w:sz w:val="28"/>
          <w:szCs w:val="28"/>
          <w:shd w:val="clear" w:color="auto" w:fill="FFFFFF"/>
        </w:rPr>
        <w:t xml:space="preserve">As </w:t>
      </w:r>
      <w:proofErr w:type="spellStart"/>
      <w:r w:rsidR="00F93242" w:rsidRPr="00F93242">
        <w:rPr>
          <w:rFonts w:ascii="Bookman Old Style" w:hAnsi="Bookman Old Style" w:cs="Arial"/>
          <w:color w:val="333333"/>
          <w:sz w:val="28"/>
          <w:szCs w:val="28"/>
          <w:shd w:val="clear" w:color="auto" w:fill="FFFFFF"/>
        </w:rPr>
        <w:t>Browde</w:t>
      </w:r>
      <w:proofErr w:type="spellEnd"/>
      <w:r w:rsidR="00F93242" w:rsidRPr="00F93242">
        <w:rPr>
          <w:rFonts w:ascii="Bookman Old Style" w:hAnsi="Bookman Old Style" w:cs="Arial"/>
          <w:color w:val="333333"/>
          <w:sz w:val="28"/>
          <w:szCs w:val="28"/>
          <w:shd w:val="clear" w:color="auto" w:fill="FFFFFF"/>
        </w:rPr>
        <w:t xml:space="preserve"> JA</w:t>
      </w:r>
      <w:r w:rsidR="00F93242">
        <w:rPr>
          <w:rFonts w:ascii="Bookman Old Style" w:hAnsi="Bookman Old Style" w:cs="Arial"/>
          <w:color w:val="333333"/>
          <w:sz w:val="28"/>
          <w:szCs w:val="28"/>
          <w:shd w:val="clear" w:color="auto" w:fill="FFFFFF"/>
        </w:rPr>
        <w:t xml:space="preserve"> pointed out in </w:t>
      </w:r>
      <w:proofErr w:type="spellStart"/>
      <w:r w:rsidR="00F93242" w:rsidRPr="00F93242">
        <w:rPr>
          <w:rFonts w:ascii="Bookman Old Style" w:hAnsi="Bookman Old Style" w:cs="Arial"/>
          <w:i/>
          <w:color w:val="333333"/>
          <w:sz w:val="28"/>
          <w:szCs w:val="28"/>
          <w:shd w:val="clear" w:color="auto" w:fill="FFFFFF"/>
        </w:rPr>
        <w:t>Mohaleroe</w:t>
      </w:r>
      <w:proofErr w:type="spellEnd"/>
      <w:r w:rsidR="00F93242" w:rsidRPr="00F93242">
        <w:rPr>
          <w:rFonts w:ascii="Bookman Old Style" w:hAnsi="Bookman Old Style" w:cs="Arial"/>
          <w:i/>
          <w:color w:val="333333"/>
          <w:sz w:val="28"/>
          <w:szCs w:val="28"/>
          <w:shd w:val="clear" w:color="auto" w:fill="FFFFFF"/>
        </w:rPr>
        <w:t xml:space="preserve"> </w:t>
      </w:r>
      <w:proofErr w:type="spellStart"/>
      <w:r w:rsidR="00F93242" w:rsidRPr="00F93242">
        <w:rPr>
          <w:rFonts w:ascii="Bookman Old Style" w:hAnsi="Bookman Old Style" w:cs="Arial"/>
          <w:i/>
          <w:color w:val="333333"/>
          <w:sz w:val="28"/>
          <w:szCs w:val="28"/>
          <w:shd w:val="clear" w:color="auto" w:fill="FFFFFF"/>
        </w:rPr>
        <w:t>Sello</w:t>
      </w:r>
      <w:proofErr w:type="spellEnd"/>
      <w:r w:rsidR="00F93242" w:rsidRPr="00F93242">
        <w:rPr>
          <w:rFonts w:ascii="Bookman Old Style" w:hAnsi="Bookman Old Style" w:cs="Arial"/>
          <w:i/>
          <w:color w:val="333333"/>
          <w:sz w:val="28"/>
          <w:szCs w:val="28"/>
          <w:shd w:val="clear" w:color="auto" w:fill="FFFFFF"/>
        </w:rPr>
        <w:t xml:space="preserve"> &amp; Co v N </w:t>
      </w:r>
      <w:proofErr w:type="spellStart"/>
      <w:r w:rsidR="00F93242" w:rsidRPr="00F93242">
        <w:rPr>
          <w:rFonts w:ascii="Bookman Old Style" w:hAnsi="Bookman Old Style" w:cs="Arial"/>
          <w:i/>
          <w:color w:val="333333"/>
          <w:sz w:val="28"/>
          <w:szCs w:val="28"/>
          <w:shd w:val="clear" w:color="auto" w:fill="FFFFFF"/>
        </w:rPr>
        <w:t>Mphanya</w:t>
      </w:r>
      <w:proofErr w:type="spellEnd"/>
      <w:r w:rsidR="00F93242">
        <w:rPr>
          <w:rFonts w:ascii="Bookman Old Style" w:hAnsi="Bookman Old Style" w:cs="Arial"/>
          <w:i/>
          <w:color w:val="333333"/>
          <w:sz w:val="28"/>
          <w:szCs w:val="28"/>
          <w:shd w:val="clear" w:color="auto" w:fill="FFFFFF"/>
        </w:rPr>
        <w:t>,</w:t>
      </w:r>
      <w:r w:rsidR="00F93242">
        <w:rPr>
          <w:rStyle w:val="FootnoteReference"/>
          <w:rFonts w:ascii="Bookman Old Style" w:hAnsi="Bookman Old Style" w:cs="Arial"/>
          <w:color w:val="333333"/>
          <w:sz w:val="28"/>
          <w:szCs w:val="28"/>
          <w:shd w:val="clear" w:color="auto" w:fill="FFFFFF"/>
        </w:rPr>
        <w:footnoteReference w:id="2"/>
      </w:r>
      <w:r w:rsidR="00F93242" w:rsidRPr="00F93242">
        <w:rPr>
          <w:rFonts w:ascii="Bookman Old Style" w:hAnsi="Bookman Old Style" w:cs="Arial"/>
          <w:color w:val="333333"/>
          <w:sz w:val="28"/>
          <w:szCs w:val="28"/>
          <w:shd w:val="clear" w:color="auto" w:fill="FFFFFF"/>
        </w:rPr>
        <w:t xml:space="preserve"> </w:t>
      </w:r>
      <w:proofErr w:type="gramStart"/>
      <w:r w:rsidR="00F93242" w:rsidRPr="00F93242">
        <w:rPr>
          <w:rFonts w:ascii="Bookman Old Style" w:hAnsi="Bookman Old Style" w:cs="Arial"/>
          <w:color w:val="333333"/>
          <w:sz w:val="28"/>
          <w:szCs w:val="28"/>
          <w:shd w:val="clear" w:color="auto" w:fill="FFFFFF"/>
        </w:rPr>
        <w:t>section  6</w:t>
      </w:r>
      <w:proofErr w:type="gramEnd"/>
      <w:r w:rsidR="00F93242" w:rsidRPr="00F93242">
        <w:rPr>
          <w:rFonts w:ascii="Bookman Old Style" w:hAnsi="Bookman Old Style" w:cs="Arial"/>
          <w:color w:val="333333"/>
          <w:sz w:val="28"/>
          <w:szCs w:val="28"/>
          <w:shd w:val="clear" w:color="auto" w:fill="FFFFFF"/>
        </w:rPr>
        <w:t xml:space="preserve"> of the High  Court  Act  was </w:t>
      </w:r>
      <w:r w:rsidR="002E50BB" w:rsidRPr="00F93242">
        <w:rPr>
          <w:rFonts w:ascii="Bookman Old Style" w:hAnsi="Bookman Old Style" w:cs="Arial"/>
          <w:color w:val="333333"/>
          <w:sz w:val="28"/>
          <w:szCs w:val="28"/>
          <w:shd w:val="clear" w:color="auto" w:fill="FFFFFF"/>
        </w:rPr>
        <w:t>clearly  enacted  in  order  to  prevent  the  High  Court  from being  swamped  with  litigatio</w:t>
      </w:r>
      <w:r w:rsidR="00F93242" w:rsidRPr="00F93242">
        <w:rPr>
          <w:rFonts w:ascii="Bookman Old Style" w:hAnsi="Bookman Old Style" w:cs="Arial"/>
          <w:color w:val="333333"/>
          <w:sz w:val="28"/>
          <w:szCs w:val="28"/>
          <w:shd w:val="clear" w:color="auto" w:fill="FFFFFF"/>
        </w:rPr>
        <w:t>n  not meriting  its  attention.</w:t>
      </w:r>
      <w:r w:rsidR="008C2603">
        <w:rPr>
          <w:rFonts w:ascii="Bookman Old Style" w:hAnsi="Bookman Old Style" w:cs="Arial"/>
          <w:color w:val="333333"/>
          <w:sz w:val="28"/>
          <w:szCs w:val="28"/>
          <w:shd w:val="clear" w:color="auto" w:fill="FFFFFF"/>
        </w:rPr>
        <w:t xml:space="preserve"> In </w:t>
      </w:r>
      <w:proofErr w:type="spellStart"/>
      <w:r w:rsidR="008C2603" w:rsidRPr="008C2603">
        <w:rPr>
          <w:rFonts w:ascii="Bookman Old Style" w:hAnsi="Bookman Old Style" w:cs="Arial"/>
          <w:bCs/>
          <w:i/>
          <w:iCs/>
          <w:color w:val="333333"/>
          <w:sz w:val="28"/>
          <w:szCs w:val="28"/>
          <w:shd w:val="clear" w:color="auto" w:fill="FFFFFF"/>
        </w:rPr>
        <w:t>Nko</w:t>
      </w:r>
      <w:proofErr w:type="spellEnd"/>
      <w:r w:rsidR="008C2603" w:rsidRPr="008C2603">
        <w:rPr>
          <w:rFonts w:ascii="Bookman Old Style" w:hAnsi="Bookman Old Style" w:cs="Arial"/>
          <w:bCs/>
          <w:i/>
          <w:iCs/>
          <w:color w:val="333333"/>
          <w:sz w:val="28"/>
          <w:szCs w:val="28"/>
          <w:shd w:val="clear" w:color="auto" w:fill="FFFFFF"/>
        </w:rPr>
        <w:t xml:space="preserve"> v </w:t>
      </w:r>
      <w:proofErr w:type="spellStart"/>
      <w:r w:rsidR="008C2603" w:rsidRPr="008C2603">
        <w:rPr>
          <w:rFonts w:ascii="Bookman Old Style" w:hAnsi="Bookman Old Style" w:cs="Arial"/>
          <w:bCs/>
          <w:i/>
          <w:iCs/>
          <w:color w:val="333333"/>
          <w:sz w:val="28"/>
          <w:szCs w:val="28"/>
          <w:shd w:val="clear" w:color="auto" w:fill="FFFFFF"/>
        </w:rPr>
        <w:t>Nko</w:t>
      </w:r>
      <w:proofErr w:type="spellEnd"/>
      <w:r w:rsidR="008C2603" w:rsidRPr="008C2603">
        <w:rPr>
          <w:rStyle w:val="FootnoteReference"/>
          <w:rFonts w:ascii="Bookman Old Style" w:hAnsi="Bookman Old Style" w:cs="Arial"/>
          <w:bCs/>
          <w:i/>
          <w:iCs/>
          <w:color w:val="333333"/>
          <w:sz w:val="28"/>
          <w:szCs w:val="28"/>
          <w:shd w:val="clear" w:color="auto" w:fill="FFFFFF"/>
        </w:rPr>
        <w:footnoteReference w:id="3"/>
      </w:r>
      <w:r w:rsidR="008C2603">
        <w:rPr>
          <w:rFonts w:ascii="Bookman Old Style" w:hAnsi="Bookman Old Style" w:cs="Arial"/>
          <w:bCs/>
          <w:iCs/>
          <w:color w:val="333333"/>
          <w:sz w:val="28"/>
          <w:szCs w:val="28"/>
          <w:shd w:val="clear" w:color="auto" w:fill="FFFFFF"/>
        </w:rPr>
        <w:t xml:space="preserve"> this Court held that the Local and Central Court</w:t>
      </w:r>
      <w:r w:rsidR="00E81FA4">
        <w:rPr>
          <w:rFonts w:ascii="Bookman Old Style" w:hAnsi="Bookman Old Style" w:cs="Arial"/>
          <w:bCs/>
          <w:iCs/>
          <w:color w:val="333333"/>
          <w:sz w:val="28"/>
          <w:szCs w:val="28"/>
          <w:shd w:val="clear" w:color="auto" w:fill="FFFFFF"/>
        </w:rPr>
        <w:t>s</w:t>
      </w:r>
      <w:r w:rsidR="008C2603">
        <w:rPr>
          <w:rFonts w:ascii="Bookman Old Style" w:hAnsi="Bookman Old Style" w:cs="Arial"/>
          <w:bCs/>
          <w:iCs/>
          <w:color w:val="333333"/>
          <w:sz w:val="28"/>
          <w:szCs w:val="28"/>
          <w:shd w:val="clear" w:color="auto" w:fill="FFFFFF"/>
        </w:rPr>
        <w:t xml:space="preserve"> are also contem</w:t>
      </w:r>
      <w:r w:rsidR="00904F11">
        <w:rPr>
          <w:rFonts w:ascii="Bookman Old Style" w:hAnsi="Bookman Old Style" w:cs="Arial"/>
          <w:bCs/>
          <w:iCs/>
          <w:color w:val="333333"/>
          <w:sz w:val="28"/>
          <w:szCs w:val="28"/>
          <w:shd w:val="clear" w:color="auto" w:fill="FFFFFF"/>
        </w:rPr>
        <w:t>p</w:t>
      </w:r>
      <w:r w:rsidR="008C2603">
        <w:rPr>
          <w:rFonts w:ascii="Bookman Old Style" w:hAnsi="Bookman Old Style" w:cs="Arial"/>
          <w:bCs/>
          <w:iCs/>
          <w:color w:val="333333"/>
          <w:sz w:val="28"/>
          <w:szCs w:val="28"/>
          <w:shd w:val="clear" w:color="auto" w:fill="FFFFFF"/>
        </w:rPr>
        <w:t>lated under section 6</w:t>
      </w:r>
      <w:r w:rsidR="008C2603" w:rsidRPr="008C2603">
        <w:rPr>
          <w:rFonts w:ascii="Bookman Old Style" w:hAnsi="Bookman Old Style"/>
          <w:sz w:val="28"/>
          <w:szCs w:val="28"/>
        </w:rPr>
        <w:t xml:space="preserve"> </w:t>
      </w:r>
      <w:r w:rsidR="008C2603" w:rsidRPr="008C2603">
        <w:rPr>
          <w:rFonts w:ascii="Bookman Old Style" w:hAnsi="Bookman Old Style" w:cs="Arial"/>
          <w:bCs/>
          <w:iCs/>
          <w:color w:val="333333"/>
          <w:sz w:val="28"/>
          <w:szCs w:val="28"/>
          <w:shd w:val="clear" w:color="auto" w:fill="FFFFFF"/>
        </w:rPr>
        <w:t>of the High Court Act</w:t>
      </w:r>
      <w:r w:rsidR="008C2603">
        <w:rPr>
          <w:rFonts w:ascii="Bookman Old Style" w:hAnsi="Bookman Old Style" w:cs="Arial"/>
          <w:bCs/>
          <w:iCs/>
          <w:color w:val="333333"/>
          <w:sz w:val="28"/>
          <w:szCs w:val="28"/>
          <w:shd w:val="clear" w:color="auto" w:fill="FFFFFF"/>
        </w:rPr>
        <w:t xml:space="preserve"> provision.</w:t>
      </w:r>
    </w:p>
    <w:p w14:paraId="17EC2789" w14:textId="38DF3759" w:rsidR="007448DA" w:rsidRDefault="0075481D" w:rsidP="00385588">
      <w:pPr>
        <w:pStyle w:val="ListParagraph"/>
        <w:numPr>
          <w:ilvl w:val="1"/>
          <w:numId w:val="6"/>
        </w:numPr>
        <w:spacing w:line="360" w:lineRule="auto"/>
        <w:ind w:left="448" w:hanging="448"/>
        <w:jc w:val="both"/>
        <w:rPr>
          <w:rFonts w:ascii="Bookman Old Style" w:hAnsi="Bookman Old Style"/>
          <w:sz w:val="28"/>
          <w:szCs w:val="28"/>
        </w:rPr>
      </w:pPr>
      <w:r w:rsidRPr="0023692F">
        <w:rPr>
          <w:rFonts w:ascii="Bookman Old Style" w:hAnsi="Bookman Old Style"/>
          <w:sz w:val="28"/>
          <w:szCs w:val="28"/>
        </w:rPr>
        <w:t>In</w:t>
      </w:r>
      <w:r w:rsidR="0023692F" w:rsidRPr="0023692F">
        <w:rPr>
          <w:rFonts w:ascii="Bookman Old Style" w:hAnsi="Bookman Old Style"/>
          <w:sz w:val="28"/>
          <w:szCs w:val="28"/>
        </w:rPr>
        <w:t xml:space="preserve"> </w:t>
      </w:r>
      <w:proofErr w:type="spellStart"/>
      <w:r w:rsidR="0023692F" w:rsidRPr="00E81FA4">
        <w:rPr>
          <w:rFonts w:ascii="Bookman Old Style" w:hAnsi="Bookman Old Style"/>
          <w:i/>
          <w:sz w:val="28"/>
          <w:szCs w:val="28"/>
        </w:rPr>
        <w:t>Tredoux</w:t>
      </w:r>
      <w:proofErr w:type="spellEnd"/>
      <w:r w:rsidR="0023692F" w:rsidRPr="00E81FA4">
        <w:rPr>
          <w:rFonts w:ascii="Bookman Old Style" w:hAnsi="Bookman Old Style"/>
          <w:i/>
          <w:sz w:val="28"/>
          <w:szCs w:val="28"/>
        </w:rPr>
        <w:t xml:space="preserve"> v Kellerman</w:t>
      </w:r>
      <w:r w:rsidR="0023692F">
        <w:rPr>
          <w:rStyle w:val="FootnoteReference"/>
          <w:rFonts w:ascii="Bookman Old Style" w:hAnsi="Bookman Old Style"/>
          <w:sz w:val="28"/>
          <w:szCs w:val="28"/>
        </w:rPr>
        <w:footnoteReference w:id="4"/>
      </w:r>
      <w:r w:rsidR="0023692F" w:rsidRPr="0023692F">
        <w:rPr>
          <w:rFonts w:ascii="Bookman Old Style" w:hAnsi="Bookman Old Style"/>
          <w:sz w:val="28"/>
          <w:szCs w:val="28"/>
        </w:rPr>
        <w:t xml:space="preserve"> </w:t>
      </w:r>
      <w:r w:rsidR="008A4D3D">
        <w:rPr>
          <w:rFonts w:ascii="Bookman Old Style" w:hAnsi="Bookman Old Style"/>
          <w:sz w:val="28"/>
          <w:szCs w:val="28"/>
        </w:rPr>
        <w:t xml:space="preserve">it was held that, </w:t>
      </w:r>
      <w:r w:rsidR="008A4D3D" w:rsidRPr="0023692F">
        <w:rPr>
          <w:rFonts w:ascii="Bookman Old Style" w:hAnsi="Bookman Old Style"/>
          <w:sz w:val="28"/>
          <w:szCs w:val="28"/>
        </w:rPr>
        <w:t xml:space="preserve">a </w:t>
      </w:r>
      <w:r w:rsidR="0023692F" w:rsidRPr="0023692F">
        <w:rPr>
          <w:rFonts w:ascii="Bookman Old Style" w:hAnsi="Bookman Old Style"/>
          <w:sz w:val="28"/>
          <w:szCs w:val="28"/>
        </w:rPr>
        <w:t>liquidated amount of money is an amount which is either agreed upon or which is capable of speedy and prompt ascertainment or, put</w:t>
      </w:r>
      <w:r w:rsidR="0023692F" w:rsidRPr="0023692F">
        <w:t xml:space="preserve"> </w:t>
      </w:r>
      <w:r w:rsidR="0023692F" w:rsidRPr="0023692F">
        <w:rPr>
          <w:rFonts w:ascii="Bookman Old Style" w:hAnsi="Bookman Old Style"/>
          <w:sz w:val="28"/>
          <w:szCs w:val="28"/>
        </w:rPr>
        <w:t xml:space="preserve">differently, where ascertainment of the amount in issue is "a mere matter of </w:t>
      </w:r>
      <w:r w:rsidR="004D0EFD" w:rsidRPr="0023692F">
        <w:rPr>
          <w:rFonts w:ascii="Bookman Old Style" w:hAnsi="Bookman Old Style"/>
          <w:sz w:val="28"/>
          <w:szCs w:val="28"/>
        </w:rPr>
        <w:t>calculation”.</w:t>
      </w:r>
      <w:r w:rsidR="004D0EFD">
        <w:rPr>
          <w:rFonts w:ascii="Bookman Old Style" w:hAnsi="Bookman Old Style"/>
          <w:sz w:val="28"/>
          <w:szCs w:val="28"/>
        </w:rPr>
        <w:t xml:space="preserve"> </w:t>
      </w:r>
    </w:p>
    <w:p w14:paraId="1048F63D" w14:textId="3E08A0EB" w:rsidR="007B4093" w:rsidRPr="00C41C56" w:rsidRDefault="00385588" w:rsidP="00C41C56">
      <w:pPr>
        <w:pStyle w:val="ListParagraph"/>
        <w:numPr>
          <w:ilvl w:val="1"/>
          <w:numId w:val="6"/>
        </w:numPr>
        <w:spacing w:line="360" w:lineRule="auto"/>
        <w:ind w:left="448" w:hanging="448"/>
        <w:jc w:val="both"/>
        <w:rPr>
          <w:rFonts w:ascii="Bookman Old Style" w:hAnsi="Bookman Old Style"/>
          <w:sz w:val="28"/>
          <w:szCs w:val="28"/>
        </w:rPr>
      </w:pPr>
      <w:r w:rsidRPr="007448DA">
        <w:rPr>
          <w:rFonts w:ascii="Bookman Old Style" w:hAnsi="Bookman Old Style"/>
          <w:sz w:val="28"/>
          <w:szCs w:val="28"/>
        </w:rPr>
        <w:t>Rule 28 of the High Court Rules 1980, enables a plaintiff to apply to court for summary judgment in respect of four categories of claims: (a) on a liquid document; (b) for a liquidated amount in money; (c) for delivery of specified immovable property; or (d) for ejectment.</w:t>
      </w:r>
      <w:r w:rsidR="007448DA" w:rsidRPr="007448DA">
        <w:rPr>
          <w:rFonts w:ascii="Bookman Old Style" w:hAnsi="Bookman Old Style"/>
          <w:sz w:val="28"/>
          <w:szCs w:val="28"/>
        </w:rPr>
        <w:t xml:space="preserve"> </w:t>
      </w:r>
      <w:r w:rsidR="004D0EFD" w:rsidRPr="007448DA">
        <w:rPr>
          <w:rFonts w:ascii="Bookman Old Style" w:hAnsi="Bookman Old Style"/>
          <w:sz w:val="28"/>
          <w:szCs w:val="28"/>
        </w:rPr>
        <w:t>In principle,</w:t>
      </w:r>
      <w:r w:rsidR="004D0EFD" w:rsidRPr="004D0EFD">
        <w:t xml:space="preserve"> </w:t>
      </w:r>
      <w:r w:rsidR="004D0EFD" w:rsidRPr="007448DA">
        <w:rPr>
          <w:rFonts w:ascii="Bookman Old Style" w:hAnsi="Bookman Old Style"/>
          <w:sz w:val="28"/>
          <w:szCs w:val="28"/>
        </w:rPr>
        <w:t>an application for summary judgment is not competent where a claim is one for damages.</w:t>
      </w:r>
      <w:r w:rsidRPr="00385588">
        <w:t xml:space="preserve"> </w:t>
      </w:r>
    </w:p>
    <w:p w14:paraId="4B544BF9" w14:textId="239FE426" w:rsidR="004B5901" w:rsidRDefault="007B4093" w:rsidP="004B5901">
      <w:pPr>
        <w:spacing w:line="360" w:lineRule="auto"/>
        <w:jc w:val="both"/>
        <w:rPr>
          <w:rFonts w:ascii="Bookman Old Style" w:hAnsi="Bookman Old Style"/>
          <w:b/>
          <w:sz w:val="28"/>
          <w:szCs w:val="28"/>
        </w:rPr>
      </w:pPr>
      <w:r>
        <w:rPr>
          <w:rFonts w:ascii="Bookman Old Style" w:hAnsi="Bookman Old Style"/>
          <w:sz w:val="28"/>
          <w:szCs w:val="28"/>
        </w:rPr>
        <w:t xml:space="preserve"> </w:t>
      </w:r>
      <w:r w:rsidR="004B5901" w:rsidRPr="004B5901">
        <w:rPr>
          <w:rFonts w:ascii="Bookman Old Style" w:hAnsi="Bookman Old Style"/>
          <w:b/>
          <w:sz w:val="28"/>
          <w:szCs w:val="28"/>
        </w:rPr>
        <w:t xml:space="preserve">Consideration of the grounds of appeal </w:t>
      </w:r>
    </w:p>
    <w:p w14:paraId="6D1EA82B" w14:textId="1E51A2AF" w:rsidR="0040240E" w:rsidRDefault="00885924" w:rsidP="006C043D">
      <w:pPr>
        <w:pStyle w:val="ListParagraph"/>
        <w:numPr>
          <w:ilvl w:val="1"/>
          <w:numId w:val="6"/>
        </w:numPr>
        <w:spacing w:line="360" w:lineRule="auto"/>
        <w:ind w:left="448" w:hanging="448"/>
        <w:jc w:val="both"/>
        <w:rPr>
          <w:rFonts w:ascii="Bookman Old Style" w:hAnsi="Bookman Old Style"/>
          <w:sz w:val="28"/>
          <w:szCs w:val="28"/>
        </w:rPr>
      </w:pPr>
      <w:r w:rsidRPr="00E81FA4">
        <w:rPr>
          <w:rFonts w:ascii="Bookman Old Style" w:hAnsi="Bookman Old Style"/>
          <w:color w:val="000000" w:themeColor="text1"/>
          <w:sz w:val="28"/>
          <w:szCs w:val="28"/>
        </w:rPr>
        <w:t xml:space="preserve">As indicated </w:t>
      </w:r>
      <w:r w:rsidRPr="00885924">
        <w:rPr>
          <w:rFonts w:ascii="Bookman Old Style" w:hAnsi="Bookman Old Style"/>
          <w:sz w:val="28"/>
          <w:szCs w:val="28"/>
        </w:rPr>
        <w:t>above, section</w:t>
      </w:r>
      <w:r w:rsidR="00E77D24" w:rsidRPr="00885924">
        <w:rPr>
          <w:rFonts w:ascii="Bookman Old Style" w:hAnsi="Bookman Old Style"/>
          <w:sz w:val="28"/>
          <w:szCs w:val="28"/>
        </w:rPr>
        <w:t xml:space="preserve"> 6 of the High Court Act provides that "[n]o civil cause or action within the jurisdiction of a subordinate</w:t>
      </w:r>
      <w:r w:rsidRPr="00885924">
        <w:rPr>
          <w:rFonts w:ascii="Bookman Old Style" w:hAnsi="Bookman Old Style"/>
          <w:sz w:val="28"/>
          <w:szCs w:val="28"/>
        </w:rPr>
        <w:t xml:space="preserve"> </w:t>
      </w:r>
      <w:r w:rsidR="00E77D24" w:rsidRPr="00885924">
        <w:rPr>
          <w:rFonts w:ascii="Bookman Old Style" w:hAnsi="Bookman Old Style"/>
          <w:sz w:val="28"/>
          <w:szCs w:val="28"/>
        </w:rPr>
        <w:t xml:space="preserve">court shall be instituted in or removed into the High Court save by a Judge of the High Court acting on his own </w:t>
      </w:r>
      <w:r w:rsidR="00E77D24" w:rsidRPr="00885924">
        <w:rPr>
          <w:rFonts w:ascii="Bookman Old Style" w:hAnsi="Bookman Old Style"/>
          <w:sz w:val="28"/>
          <w:szCs w:val="28"/>
        </w:rPr>
        <w:lastRenderedPageBreak/>
        <w:t>motion; or with</w:t>
      </w:r>
      <w:r>
        <w:rPr>
          <w:rFonts w:ascii="Bookman Old Style" w:hAnsi="Bookman Old Style"/>
          <w:sz w:val="28"/>
          <w:szCs w:val="28"/>
        </w:rPr>
        <w:t xml:space="preserve"> </w:t>
      </w:r>
      <w:r w:rsidR="00E77D24" w:rsidRPr="00885924">
        <w:rPr>
          <w:rFonts w:ascii="Bookman Old Style" w:hAnsi="Bookman Old Style"/>
          <w:sz w:val="28"/>
          <w:szCs w:val="28"/>
        </w:rPr>
        <w:t xml:space="preserve">leave of a Judge upon application made to him in chambers and after notice to the other party." </w:t>
      </w:r>
    </w:p>
    <w:p w14:paraId="63E9C186" w14:textId="0AD0FCD3" w:rsidR="00E77D24" w:rsidRDefault="00E77D24" w:rsidP="003E7326">
      <w:pPr>
        <w:pStyle w:val="ListParagraph"/>
        <w:numPr>
          <w:ilvl w:val="1"/>
          <w:numId w:val="22"/>
        </w:numPr>
        <w:spacing w:line="360" w:lineRule="auto"/>
        <w:ind w:left="448" w:hanging="448"/>
        <w:jc w:val="both"/>
        <w:rPr>
          <w:rFonts w:ascii="Bookman Old Style" w:hAnsi="Bookman Old Style"/>
          <w:sz w:val="28"/>
          <w:szCs w:val="28"/>
        </w:rPr>
      </w:pPr>
      <w:r w:rsidRPr="00885924">
        <w:rPr>
          <w:rFonts w:ascii="Bookman Old Style" w:hAnsi="Bookman Old Style"/>
          <w:sz w:val="28"/>
          <w:szCs w:val="28"/>
        </w:rPr>
        <w:t xml:space="preserve"> </w:t>
      </w:r>
      <w:r w:rsidR="00A51D4A" w:rsidRPr="00A51D4A">
        <w:rPr>
          <w:rFonts w:ascii="Bookman Old Style" w:hAnsi="Bookman Old Style"/>
          <w:sz w:val="28"/>
          <w:szCs w:val="28"/>
        </w:rPr>
        <w:t>The proceedings in the court a quo could not have</w:t>
      </w:r>
      <w:r w:rsidRPr="00885924">
        <w:rPr>
          <w:rFonts w:ascii="Bookman Old Style" w:hAnsi="Bookman Old Style"/>
          <w:sz w:val="28"/>
          <w:szCs w:val="28"/>
        </w:rPr>
        <w:t xml:space="preserve"> </w:t>
      </w:r>
      <w:r w:rsidR="00A51D4A" w:rsidRPr="00A51D4A">
        <w:rPr>
          <w:rFonts w:ascii="Bookman Old Style" w:hAnsi="Bookman Old Style"/>
          <w:sz w:val="28"/>
          <w:szCs w:val="28"/>
        </w:rPr>
        <w:t>been validly instituted without one or other of the requirements laid down in section 6 of the High Court Act being satisfied. It is common cause that the provisions of section</w:t>
      </w:r>
      <w:r w:rsidR="00A51D4A" w:rsidRPr="00A51D4A">
        <w:rPr>
          <w:rFonts w:ascii="Arial" w:hAnsi="Arial" w:cs="Arial"/>
          <w:color w:val="333333"/>
          <w:sz w:val="23"/>
          <w:szCs w:val="23"/>
          <w:shd w:val="clear" w:color="auto" w:fill="FFFFFF"/>
        </w:rPr>
        <w:t xml:space="preserve"> </w:t>
      </w:r>
      <w:r w:rsidR="00A51D4A" w:rsidRPr="00A51D4A">
        <w:rPr>
          <w:rFonts w:ascii="Bookman Old Style" w:hAnsi="Bookman Old Style"/>
          <w:sz w:val="28"/>
          <w:szCs w:val="28"/>
        </w:rPr>
        <w:t xml:space="preserve">6 were not complied with. </w:t>
      </w:r>
      <w:proofErr w:type="gramStart"/>
      <w:r w:rsidR="00A51D4A" w:rsidRPr="00A51D4A">
        <w:rPr>
          <w:rFonts w:ascii="Bookman Old Style" w:hAnsi="Bookman Old Style"/>
          <w:sz w:val="28"/>
          <w:szCs w:val="28"/>
        </w:rPr>
        <w:t>In particular, leave</w:t>
      </w:r>
      <w:proofErr w:type="gramEnd"/>
      <w:r w:rsidR="00A51D4A" w:rsidRPr="00A51D4A">
        <w:rPr>
          <w:rFonts w:ascii="Bookman Old Style" w:hAnsi="Bookman Old Style"/>
          <w:sz w:val="28"/>
          <w:szCs w:val="28"/>
        </w:rPr>
        <w:t xml:space="preserve"> of the High Court was not first sought and obtained before the appellant's a</w:t>
      </w:r>
      <w:r w:rsidR="0040240E">
        <w:rPr>
          <w:rFonts w:ascii="Bookman Old Style" w:hAnsi="Bookman Old Style"/>
          <w:sz w:val="28"/>
          <w:szCs w:val="28"/>
        </w:rPr>
        <w:t>ction</w:t>
      </w:r>
      <w:r w:rsidR="00A51D4A" w:rsidRPr="00A51D4A">
        <w:rPr>
          <w:rFonts w:ascii="Bookman Old Style" w:hAnsi="Bookman Old Style"/>
          <w:sz w:val="28"/>
          <w:szCs w:val="28"/>
        </w:rPr>
        <w:t xml:space="preserve"> was launched.</w:t>
      </w:r>
      <w:r w:rsidR="00CD47F9">
        <w:rPr>
          <w:rStyle w:val="FootnoteReference"/>
          <w:rFonts w:ascii="Bookman Old Style" w:hAnsi="Bookman Old Style"/>
          <w:sz w:val="28"/>
          <w:szCs w:val="28"/>
        </w:rPr>
        <w:footnoteReference w:id="5"/>
      </w:r>
      <w:r w:rsidR="00A51D4A" w:rsidRPr="00A51D4A">
        <w:rPr>
          <w:rFonts w:ascii="Bookman Old Style" w:hAnsi="Bookman Old Style"/>
          <w:sz w:val="28"/>
          <w:szCs w:val="28"/>
        </w:rPr>
        <w:t xml:space="preserve"> </w:t>
      </w:r>
      <w:r w:rsidR="0040240E">
        <w:rPr>
          <w:rFonts w:ascii="Bookman Old Style" w:hAnsi="Bookman Old Style"/>
          <w:sz w:val="28"/>
          <w:szCs w:val="28"/>
        </w:rPr>
        <w:t>In my opinion, the Court erred in entertaining this claim.</w:t>
      </w:r>
      <w:r w:rsidR="0040240E" w:rsidRPr="0040240E">
        <w:rPr>
          <w:rFonts w:ascii="Bookman Old Style" w:hAnsi="Bookman Old Style"/>
          <w:sz w:val="28"/>
          <w:szCs w:val="28"/>
        </w:rPr>
        <w:t xml:space="preserve"> </w:t>
      </w:r>
      <w:r w:rsidR="0040240E" w:rsidRPr="00E77D24">
        <w:rPr>
          <w:rFonts w:ascii="Bookman Old Style" w:hAnsi="Bookman Old Style"/>
          <w:sz w:val="28"/>
          <w:szCs w:val="28"/>
        </w:rPr>
        <w:t>It is</w:t>
      </w:r>
      <w:r w:rsidR="0040240E">
        <w:rPr>
          <w:rFonts w:ascii="Bookman Old Style" w:hAnsi="Bookman Old Style"/>
          <w:sz w:val="28"/>
          <w:szCs w:val="28"/>
        </w:rPr>
        <w:t xml:space="preserve"> </w:t>
      </w:r>
      <w:r w:rsidR="0040240E" w:rsidRPr="00E77D24">
        <w:rPr>
          <w:rFonts w:ascii="Bookman Old Style" w:hAnsi="Bookman Old Style"/>
          <w:sz w:val="28"/>
          <w:szCs w:val="28"/>
        </w:rPr>
        <w:t>common cause that neither of these events occurred. The case should</w:t>
      </w:r>
      <w:r w:rsidR="0040240E">
        <w:rPr>
          <w:rFonts w:ascii="Bookman Old Style" w:hAnsi="Bookman Old Style"/>
          <w:sz w:val="28"/>
          <w:szCs w:val="28"/>
        </w:rPr>
        <w:t xml:space="preserve"> </w:t>
      </w:r>
      <w:r w:rsidR="0040240E" w:rsidRPr="00E77D24">
        <w:rPr>
          <w:rFonts w:ascii="Bookman Old Style" w:hAnsi="Bookman Old Style"/>
          <w:sz w:val="28"/>
          <w:szCs w:val="28"/>
        </w:rPr>
        <w:t xml:space="preserve">therefore, </w:t>
      </w:r>
      <w:r w:rsidR="00C10496">
        <w:rPr>
          <w:rFonts w:ascii="Bookman Old Style" w:hAnsi="Bookman Old Style"/>
          <w:sz w:val="28"/>
          <w:szCs w:val="28"/>
        </w:rPr>
        <w:t>in my view</w:t>
      </w:r>
      <w:r w:rsidR="0040240E" w:rsidRPr="00E77D24">
        <w:rPr>
          <w:rFonts w:ascii="Bookman Old Style" w:hAnsi="Bookman Old Style"/>
          <w:sz w:val="28"/>
          <w:szCs w:val="28"/>
        </w:rPr>
        <w:t>, have been brought not in the</w:t>
      </w:r>
      <w:r w:rsidR="0040240E" w:rsidRPr="00E77D24">
        <w:rPr>
          <w:rFonts w:ascii="Arial" w:hAnsi="Arial" w:cs="Arial"/>
          <w:color w:val="333333"/>
          <w:sz w:val="23"/>
          <w:szCs w:val="23"/>
          <w:shd w:val="clear" w:color="auto" w:fill="FFFFFF"/>
        </w:rPr>
        <w:t xml:space="preserve"> </w:t>
      </w:r>
      <w:r w:rsidR="0040240E" w:rsidRPr="00E77D24">
        <w:rPr>
          <w:rFonts w:ascii="Bookman Old Style" w:hAnsi="Bookman Old Style"/>
          <w:sz w:val="28"/>
          <w:szCs w:val="28"/>
        </w:rPr>
        <w:t>High Court</w:t>
      </w:r>
      <w:r w:rsidR="0040240E" w:rsidRPr="00E77D24">
        <w:rPr>
          <w:rFonts w:ascii="Arial" w:hAnsi="Arial" w:cs="Arial"/>
          <w:color w:val="333333"/>
          <w:sz w:val="23"/>
          <w:szCs w:val="23"/>
          <w:shd w:val="clear" w:color="auto" w:fill="FFFFFF"/>
        </w:rPr>
        <w:t xml:space="preserve"> </w:t>
      </w:r>
      <w:r w:rsidR="0040240E" w:rsidRPr="00E77D24">
        <w:rPr>
          <w:rFonts w:ascii="Bookman Old Style" w:hAnsi="Bookman Old Style"/>
          <w:sz w:val="28"/>
          <w:szCs w:val="28"/>
        </w:rPr>
        <w:t xml:space="preserve">but in the </w:t>
      </w:r>
      <w:r w:rsidR="0040240E">
        <w:rPr>
          <w:rFonts w:ascii="Bookman Old Style" w:hAnsi="Bookman Old Style"/>
          <w:sz w:val="28"/>
          <w:szCs w:val="28"/>
        </w:rPr>
        <w:t>Local and Central courts.</w:t>
      </w:r>
      <w:r w:rsidR="0040240E" w:rsidRPr="00E77D24">
        <w:rPr>
          <w:rFonts w:ascii="Bookman Old Style" w:hAnsi="Bookman Old Style"/>
          <w:sz w:val="28"/>
          <w:szCs w:val="28"/>
        </w:rPr>
        <w:t xml:space="preserve"> </w:t>
      </w:r>
    </w:p>
    <w:p w14:paraId="43B828DE" w14:textId="07D7B93B" w:rsidR="003B5655" w:rsidRPr="003B5655" w:rsidRDefault="003B5655" w:rsidP="003B5655">
      <w:pPr>
        <w:spacing w:line="360" w:lineRule="auto"/>
        <w:jc w:val="both"/>
        <w:rPr>
          <w:rFonts w:ascii="Bookman Old Style" w:hAnsi="Bookman Old Style"/>
          <w:b/>
          <w:sz w:val="28"/>
          <w:szCs w:val="28"/>
        </w:rPr>
      </w:pPr>
      <w:r w:rsidRPr="003B5655">
        <w:rPr>
          <w:rFonts w:ascii="Bookman Old Style" w:hAnsi="Bookman Old Style"/>
          <w:b/>
          <w:sz w:val="28"/>
          <w:szCs w:val="28"/>
        </w:rPr>
        <w:t>Disposition</w:t>
      </w:r>
    </w:p>
    <w:p w14:paraId="252B2B10" w14:textId="2DA78999" w:rsidR="00BD4B60" w:rsidRDefault="00016EAF" w:rsidP="00BD4B60">
      <w:pPr>
        <w:pStyle w:val="ListParagraph"/>
        <w:numPr>
          <w:ilvl w:val="1"/>
          <w:numId w:val="22"/>
        </w:numPr>
        <w:spacing w:line="360" w:lineRule="auto"/>
        <w:ind w:left="448" w:hanging="448"/>
        <w:jc w:val="both"/>
        <w:rPr>
          <w:rFonts w:ascii="Bookman Old Style" w:hAnsi="Bookman Old Style"/>
          <w:sz w:val="28"/>
          <w:szCs w:val="28"/>
        </w:rPr>
      </w:pPr>
      <w:proofErr w:type="gramStart"/>
      <w:r>
        <w:rPr>
          <w:rFonts w:ascii="Bookman Old Style" w:hAnsi="Bookman Old Style"/>
          <w:sz w:val="28"/>
          <w:szCs w:val="28"/>
        </w:rPr>
        <w:t>In light of</w:t>
      </w:r>
      <w:proofErr w:type="gramEnd"/>
      <w:r>
        <w:rPr>
          <w:rFonts w:ascii="Bookman Old Style" w:hAnsi="Bookman Old Style"/>
          <w:sz w:val="28"/>
          <w:szCs w:val="28"/>
        </w:rPr>
        <w:t xml:space="preserve"> my view</w:t>
      </w:r>
      <w:r w:rsidR="006C571A">
        <w:rPr>
          <w:rFonts w:ascii="Bookman Old Style" w:hAnsi="Bookman Old Style"/>
          <w:sz w:val="28"/>
          <w:szCs w:val="28"/>
        </w:rPr>
        <w:t>s</w:t>
      </w:r>
      <w:r>
        <w:rPr>
          <w:rFonts w:ascii="Bookman Old Style" w:hAnsi="Bookman Old Style"/>
          <w:sz w:val="28"/>
          <w:szCs w:val="28"/>
        </w:rPr>
        <w:t xml:space="preserve"> on the </w:t>
      </w:r>
      <w:r w:rsidR="00BD4B60">
        <w:rPr>
          <w:rFonts w:ascii="Bookman Old Style" w:hAnsi="Bookman Old Style"/>
          <w:sz w:val="28"/>
          <w:szCs w:val="28"/>
        </w:rPr>
        <w:t>jurisdictional ground</w:t>
      </w:r>
      <w:r>
        <w:rPr>
          <w:rFonts w:ascii="Bookman Old Style" w:hAnsi="Bookman Old Style"/>
          <w:sz w:val="28"/>
          <w:szCs w:val="28"/>
        </w:rPr>
        <w:t xml:space="preserve"> of appeal, I find it unnecessary to deal with all the three grounds.</w:t>
      </w:r>
      <w:r w:rsidR="00991B40">
        <w:rPr>
          <w:rFonts w:ascii="Bookman Old Style" w:hAnsi="Bookman Old Style"/>
          <w:sz w:val="28"/>
          <w:szCs w:val="28"/>
        </w:rPr>
        <w:t xml:space="preserve"> I would therefore uphold this appeal.</w:t>
      </w:r>
    </w:p>
    <w:p w14:paraId="1A2E0A15" w14:textId="041FBC31" w:rsidR="004B5901" w:rsidRPr="00BD4B60" w:rsidRDefault="006C571A" w:rsidP="00BD4B60">
      <w:pPr>
        <w:spacing w:line="360" w:lineRule="auto"/>
        <w:jc w:val="both"/>
        <w:rPr>
          <w:rFonts w:ascii="Bookman Old Style" w:hAnsi="Bookman Old Style"/>
          <w:sz w:val="28"/>
          <w:szCs w:val="28"/>
        </w:rPr>
      </w:pPr>
      <w:r w:rsidRPr="00BD4B60">
        <w:rPr>
          <w:rFonts w:ascii="Bookman Old Style" w:hAnsi="Bookman Old Style"/>
          <w:sz w:val="28"/>
          <w:szCs w:val="28"/>
        </w:rPr>
        <w:t xml:space="preserve"> </w:t>
      </w:r>
      <w:r w:rsidR="004B5901" w:rsidRPr="00BD4B60">
        <w:rPr>
          <w:rFonts w:ascii="Bookman Old Style" w:hAnsi="Bookman Old Style"/>
          <w:b/>
          <w:bCs/>
          <w:sz w:val="28"/>
          <w:szCs w:val="28"/>
        </w:rPr>
        <w:t>Order</w:t>
      </w:r>
    </w:p>
    <w:p w14:paraId="734594CD" w14:textId="42E4ECF8" w:rsidR="004B5901" w:rsidRPr="009B2D42" w:rsidRDefault="004B5901" w:rsidP="0040240E">
      <w:pPr>
        <w:pStyle w:val="ListParagraph"/>
        <w:numPr>
          <w:ilvl w:val="1"/>
          <w:numId w:val="22"/>
        </w:numPr>
        <w:spacing w:line="360" w:lineRule="auto"/>
        <w:ind w:left="448" w:hanging="448"/>
        <w:jc w:val="both"/>
        <w:rPr>
          <w:rFonts w:ascii="Bookman Old Style" w:hAnsi="Bookman Old Style"/>
          <w:sz w:val="28"/>
          <w:szCs w:val="28"/>
        </w:rPr>
      </w:pPr>
      <w:r w:rsidRPr="009B2D42">
        <w:rPr>
          <w:rFonts w:ascii="Bookman Old Style" w:hAnsi="Bookman Old Style"/>
          <w:sz w:val="28"/>
          <w:szCs w:val="28"/>
        </w:rPr>
        <w:t>In view of the above</w:t>
      </w:r>
      <w:r w:rsidR="00E81FA4">
        <w:rPr>
          <w:rFonts w:ascii="Bookman Old Style" w:hAnsi="Bookman Old Style"/>
          <w:sz w:val="28"/>
          <w:szCs w:val="28"/>
        </w:rPr>
        <w:t xml:space="preserve"> reasons,</w:t>
      </w:r>
      <w:r w:rsidRPr="009B2D42">
        <w:rPr>
          <w:rFonts w:ascii="Bookman Old Style" w:hAnsi="Bookman Old Style"/>
          <w:sz w:val="28"/>
          <w:szCs w:val="28"/>
        </w:rPr>
        <w:t xml:space="preserve"> the following is ordered:</w:t>
      </w:r>
    </w:p>
    <w:p w14:paraId="4F6A801F" w14:textId="046DBDB7" w:rsidR="004B5901" w:rsidRDefault="004B5901" w:rsidP="004B5901">
      <w:pPr>
        <w:numPr>
          <w:ilvl w:val="0"/>
          <w:numId w:val="5"/>
        </w:numPr>
        <w:spacing w:before="240" w:line="360" w:lineRule="auto"/>
        <w:contextualSpacing/>
        <w:jc w:val="both"/>
        <w:rPr>
          <w:rFonts w:ascii="Bookman Old Style" w:hAnsi="Bookman Old Style"/>
          <w:sz w:val="28"/>
          <w:szCs w:val="28"/>
        </w:rPr>
      </w:pPr>
      <w:r w:rsidRPr="004B5901">
        <w:rPr>
          <w:rFonts w:ascii="Bookman Old Style" w:hAnsi="Bookman Old Style"/>
          <w:sz w:val="28"/>
          <w:szCs w:val="28"/>
        </w:rPr>
        <w:t xml:space="preserve">The appeal </w:t>
      </w:r>
      <w:r w:rsidR="00896F0D">
        <w:rPr>
          <w:rFonts w:ascii="Bookman Old Style" w:hAnsi="Bookman Old Style"/>
          <w:sz w:val="28"/>
          <w:szCs w:val="28"/>
        </w:rPr>
        <w:t>succeeds</w:t>
      </w:r>
      <w:r w:rsidR="004D3F9F">
        <w:rPr>
          <w:rFonts w:ascii="Bookman Old Style" w:hAnsi="Bookman Old Style"/>
          <w:sz w:val="28"/>
          <w:szCs w:val="28"/>
        </w:rPr>
        <w:t xml:space="preserve"> with costs</w:t>
      </w:r>
      <w:r w:rsidRPr="004B5901">
        <w:rPr>
          <w:rFonts w:ascii="Bookman Old Style" w:hAnsi="Bookman Old Style"/>
          <w:sz w:val="28"/>
          <w:szCs w:val="28"/>
        </w:rPr>
        <w:t>.</w:t>
      </w:r>
    </w:p>
    <w:p w14:paraId="77F02151" w14:textId="12041EBF" w:rsidR="004D3F9F" w:rsidRPr="004B5901" w:rsidRDefault="004D3F9F" w:rsidP="004B5901">
      <w:pPr>
        <w:numPr>
          <w:ilvl w:val="0"/>
          <w:numId w:val="5"/>
        </w:numPr>
        <w:spacing w:before="240" w:line="360" w:lineRule="auto"/>
        <w:contextualSpacing/>
        <w:jc w:val="both"/>
        <w:rPr>
          <w:rFonts w:ascii="Bookman Old Style" w:hAnsi="Bookman Old Style"/>
          <w:sz w:val="28"/>
          <w:szCs w:val="28"/>
        </w:rPr>
      </w:pPr>
      <w:r>
        <w:rPr>
          <w:rFonts w:ascii="Bookman Old Style" w:hAnsi="Bookman Old Style"/>
          <w:sz w:val="28"/>
          <w:szCs w:val="28"/>
        </w:rPr>
        <w:t xml:space="preserve"> The </w:t>
      </w:r>
      <w:r w:rsidR="00F33501">
        <w:rPr>
          <w:rFonts w:ascii="Bookman Old Style" w:hAnsi="Bookman Old Style"/>
          <w:sz w:val="28"/>
          <w:szCs w:val="28"/>
        </w:rPr>
        <w:t>judgment</w:t>
      </w:r>
      <w:r>
        <w:rPr>
          <w:rFonts w:ascii="Bookman Old Style" w:hAnsi="Bookman Old Style"/>
          <w:sz w:val="28"/>
          <w:szCs w:val="28"/>
        </w:rPr>
        <w:t xml:space="preserve"> of the High Court is </w:t>
      </w:r>
      <w:r w:rsidR="00F33501">
        <w:rPr>
          <w:rFonts w:ascii="Bookman Old Style" w:hAnsi="Bookman Old Style"/>
          <w:sz w:val="28"/>
          <w:szCs w:val="28"/>
        </w:rPr>
        <w:t>set aside and replaced with one that reads</w:t>
      </w:r>
      <w:r>
        <w:rPr>
          <w:rFonts w:ascii="Bookman Old Style" w:hAnsi="Bookman Old Style"/>
          <w:sz w:val="28"/>
          <w:szCs w:val="28"/>
        </w:rPr>
        <w:t xml:space="preserve">: “The </w:t>
      </w:r>
      <w:r w:rsidR="005947E6">
        <w:rPr>
          <w:rFonts w:ascii="Bookman Old Style" w:hAnsi="Bookman Old Style"/>
          <w:sz w:val="28"/>
          <w:szCs w:val="28"/>
        </w:rPr>
        <w:t xml:space="preserve">application for summary judgment is dismissed </w:t>
      </w:r>
      <w:r>
        <w:rPr>
          <w:rFonts w:ascii="Bookman Old Style" w:hAnsi="Bookman Old Style"/>
          <w:sz w:val="28"/>
          <w:szCs w:val="28"/>
        </w:rPr>
        <w:t>with costs.”</w:t>
      </w:r>
    </w:p>
    <w:p w14:paraId="0539108D" w14:textId="77777777" w:rsidR="004B5901" w:rsidRPr="004B5901" w:rsidRDefault="004B5901" w:rsidP="004B5901">
      <w:pPr>
        <w:spacing w:before="240" w:line="360" w:lineRule="auto"/>
        <w:ind w:left="360"/>
        <w:jc w:val="both"/>
        <w:rPr>
          <w:rFonts w:ascii="Bookman Old Style" w:hAnsi="Bookman Old Style"/>
          <w:sz w:val="28"/>
          <w:szCs w:val="28"/>
        </w:rPr>
      </w:pPr>
    </w:p>
    <w:p w14:paraId="5297E2FD" w14:textId="77777777" w:rsidR="004F3350" w:rsidRDefault="004F3350" w:rsidP="004B5901">
      <w:pPr>
        <w:spacing w:before="240" w:line="360" w:lineRule="auto"/>
        <w:ind w:left="360"/>
        <w:jc w:val="center"/>
        <w:rPr>
          <w:rFonts w:ascii="Bookman Old Style" w:hAnsi="Bookman Old Style"/>
          <w:sz w:val="28"/>
          <w:szCs w:val="28"/>
        </w:rPr>
      </w:pPr>
    </w:p>
    <w:p w14:paraId="27EBDB0E" w14:textId="4BCE85B2" w:rsidR="004F3350" w:rsidRDefault="004F3350" w:rsidP="004B5901">
      <w:pPr>
        <w:spacing w:before="240" w:line="360" w:lineRule="auto"/>
        <w:ind w:left="360"/>
        <w:jc w:val="center"/>
        <w:rPr>
          <w:rFonts w:ascii="Bookman Old Style" w:hAnsi="Bookman Old Style"/>
          <w:sz w:val="28"/>
          <w:szCs w:val="28"/>
        </w:rPr>
      </w:pPr>
      <w:r>
        <w:rPr>
          <w:noProof/>
          <w:lang w:eastAsia="en-ZA"/>
        </w:rPr>
        <w:drawing>
          <wp:inline distT="0" distB="0" distL="0" distR="0" wp14:anchorId="4CEBD46E" wp14:editId="0E4166D7">
            <wp:extent cx="847725" cy="3524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793CA632" w14:textId="77777777" w:rsidR="004B5901" w:rsidRPr="004B5901" w:rsidRDefault="004B5901" w:rsidP="004F3350">
      <w:pPr>
        <w:spacing w:before="240" w:line="240" w:lineRule="auto"/>
        <w:ind w:left="360"/>
        <w:jc w:val="center"/>
        <w:rPr>
          <w:rFonts w:ascii="Bookman Old Style" w:hAnsi="Bookman Old Style"/>
          <w:sz w:val="28"/>
          <w:szCs w:val="28"/>
        </w:rPr>
      </w:pPr>
      <w:r w:rsidRPr="004B5901">
        <w:rPr>
          <w:rFonts w:ascii="Bookman Old Style" w:hAnsi="Bookman Old Style"/>
          <w:sz w:val="28"/>
          <w:szCs w:val="28"/>
        </w:rPr>
        <w:t>_____________________________</w:t>
      </w:r>
    </w:p>
    <w:p w14:paraId="26C0B61D" w14:textId="77777777" w:rsidR="004B5901" w:rsidRPr="004B5901" w:rsidRDefault="004B5901" w:rsidP="004F3350">
      <w:pPr>
        <w:spacing w:before="240" w:line="240" w:lineRule="auto"/>
        <w:ind w:left="357"/>
        <w:jc w:val="center"/>
        <w:rPr>
          <w:rFonts w:ascii="Bookman Old Style" w:hAnsi="Bookman Old Style"/>
          <w:sz w:val="28"/>
          <w:szCs w:val="28"/>
        </w:rPr>
      </w:pPr>
      <w:r w:rsidRPr="004B5901">
        <w:rPr>
          <w:rFonts w:ascii="Bookman Old Style" w:hAnsi="Bookman Old Style"/>
          <w:b/>
          <w:bCs/>
          <w:sz w:val="28"/>
          <w:szCs w:val="28"/>
        </w:rPr>
        <w:t>DR K E MOSITO</w:t>
      </w:r>
    </w:p>
    <w:p w14:paraId="4A174A61" w14:textId="77777777" w:rsidR="004B5901" w:rsidRPr="004B5901" w:rsidRDefault="004B5901" w:rsidP="004F3350">
      <w:pPr>
        <w:spacing w:before="240" w:line="240" w:lineRule="auto"/>
        <w:ind w:left="357"/>
        <w:jc w:val="center"/>
        <w:rPr>
          <w:rFonts w:ascii="Bookman Old Style" w:hAnsi="Bookman Old Style"/>
          <w:sz w:val="28"/>
          <w:szCs w:val="28"/>
        </w:rPr>
      </w:pPr>
      <w:r w:rsidRPr="004B5901">
        <w:rPr>
          <w:rFonts w:ascii="Bookman Old Style" w:hAnsi="Bookman Old Style"/>
          <w:b/>
          <w:bCs/>
          <w:sz w:val="28"/>
          <w:szCs w:val="28"/>
        </w:rPr>
        <w:t>PRESIDENT OF THE COURT OF APPEAL</w:t>
      </w:r>
    </w:p>
    <w:p w14:paraId="06CC9EDA" w14:textId="77777777" w:rsidR="004F3350" w:rsidRDefault="004F3350" w:rsidP="004B5901">
      <w:pPr>
        <w:spacing w:before="240" w:line="360" w:lineRule="auto"/>
        <w:ind w:left="360"/>
        <w:jc w:val="both"/>
        <w:rPr>
          <w:rFonts w:ascii="Bookman Old Style" w:hAnsi="Bookman Old Style"/>
          <w:sz w:val="28"/>
          <w:szCs w:val="28"/>
        </w:rPr>
      </w:pPr>
    </w:p>
    <w:p w14:paraId="1A187100" w14:textId="77777777" w:rsidR="004B5901" w:rsidRDefault="004B5901" w:rsidP="004B5901">
      <w:pPr>
        <w:spacing w:before="240" w:line="360" w:lineRule="auto"/>
        <w:ind w:left="360"/>
        <w:jc w:val="both"/>
        <w:rPr>
          <w:rFonts w:ascii="Bookman Old Style" w:hAnsi="Bookman Old Style"/>
          <w:sz w:val="28"/>
          <w:szCs w:val="28"/>
        </w:rPr>
      </w:pPr>
      <w:r w:rsidRPr="004B5901">
        <w:rPr>
          <w:rFonts w:ascii="Bookman Old Style" w:hAnsi="Bookman Old Style"/>
          <w:sz w:val="28"/>
          <w:szCs w:val="28"/>
        </w:rPr>
        <w:t>I agree,</w:t>
      </w:r>
    </w:p>
    <w:p w14:paraId="21DAD54F" w14:textId="47601ABB" w:rsidR="004F3350" w:rsidRPr="004B5901" w:rsidRDefault="004F3350" w:rsidP="004F3350">
      <w:pPr>
        <w:spacing w:before="240" w:line="360" w:lineRule="auto"/>
        <w:ind w:left="360"/>
        <w:jc w:val="center"/>
        <w:rPr>
          <w:rFonts w:ascii="Bookman Old Style" w:hAnsi="Bookman Old Style"/>
          <w:sz w:val="28"/>
          <w:szCs w:val="28"/>
        </w:rPr>
      </w:pPr>
      <w:r w:rsidRPr="004F3350">
        <w:rPr>
          <w:rFonts w:ascii="Bookman Old Style" w:hAnsi="Bookman Old Style"/>
          <w:noProof/>
          <w:sz w:val="28"/>
          <w:szCs w:val="28"/>
          <w:lang w:eastAsia="en-ZA"/>
        </w:rPr>
        <w:drawing>
          <wp:inline distT="0" distB="0" distL="0" distR="0" wp14:anchorId="730FB502" wp14:editId="5AB5AD77">
            <wp:extent cx="1219200" cy="590550"/>
            <wp:effectExtent l="0" t="0" r="0" b="0"/>
            <wp:docPr id="1" name="Picture 1" descr="C:\Users\user\Pictures\electronic signature judge damas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electronic signature judge damas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p w14:paraId="36B3BD54" w14:textId="77777777" w:rsidR="004B5901" w:rsidRPr="004B5901" w:rsidRDefault="004B5901" w:rsidP="004F3350">
      <w:pPr>
        <w:spacing w:before="240" w:line="240" w:lineRule="auto"/>
        <w:ind w:left="360"/>
        <w:jc w:val="center"/>
        <w:rPr>
          <w:rFonts w:ascii="Bookman Old Style" w:hAnsi="Bookman Old Style"/>
          <w:b/>
          <w:bCs/>
          <w:sz w:val="28"/>
          <w:szCs w:val="28"/>
        </w:rPr>
      </w:pPr>
      <w:r w:rsidRPr="004B5901">
        <w:rPr>
          <w:rFonts w:ascii="Bookman Old Style" w:hAnsi="Bookman Old Style"/>
          <w:b/>
          <w:bCs/>
          <w:sz w:val="28"/>
          <w:szCs w:val="28"/>
        </w:rPr>
        <w:t>_____________________________</w:t>
      </w:r>
    </w:p>
    <w:p w14:paraId="321CF70A" w14:textId="6363AC00" w:rsidR="007637EE" w:rsidRDefault="007637EE" w:rsidP="004F3350">
      <w:pPr>
        <w:spacing w:before="240" w:line="240" w:lineRule="auto"/>
        <w:ind w:left="357"/>
        <w:jc w:val="center"/>
        <w:rPr>
          <w:rFonts w:ascii="Bookman Old Style" w:hAnsi="Bookman Old Style"/>
          <w:b/>
          <w:bCs/>
          <w:sz w:val="28"/>
          <w:szCs w:val="28"/>
        </w:rPr>
      </w:pPr>
      <w:r w:rsidRPr="007637EE">
        <w:rPr>
          <w:rFonts w:ascii="Bookman Old Style" w:hAnsi="Bookman Old Style"/>
          <w:b/>
          <w:bCs/>
          <w:sz w:val="28"/>
          <w:szCs w:val="28"/>
        </w:rPr>
        <w:t xml:space="preserve">P </w:t>
      </w:r>
      <w:r w:rsidR="00E81FA4">
        <w:rPr>
          <w:rFonts w:ascii="Bookman Old Style" w:hAnsi="Bookman Old Style"/>
          <w:b/>
          <w:bCs/>
          <w:sz w:val="28"/>
          <w:szCs w:val="28"/>
        </w:rPr>
        <w:t xml:space="preserve">T </w:t>
      </w:r>
      <w:r w:rsidRPr="007637EE">
        <w:rPr>
          <w:rFonts w:ascii="Bookman Old Style" w:hAnsi="Bookman Old Style"/>
          <w:b/>
          <w:bCs/>
          <w:sz w:val="28"/>
          <w:szCs w:val="28"/>
        </w:rPr>
        <w:t xml:space="preserve">DAMASEB AJA </w:t>
      </w:r>
    </w:p>
    <w:p w14:paraId="63895F41" w14:textId="1C3DF634" w:rsidR="004B5901" w:rsidRPr="004B5901" w:rsidRDefault="004B5901" w:rsidP="004F3350">
      <w:pPr>
        <w:spacing w:before="240" w:line="240" w:lineRule="auto"/>
        <w:ind w:left="357"/>
        <w:jc w:val="center"/>
        <w:rPr>
          <w:rFonts w:ascii="Bookman Old Style" w:hAnsi="Bookman Old Style"/>
          <w:sz w:val="28"/>
          <w:szCs w:val="28"/>
        </w:rPr>
      </w:pPr>
      <w:r w:rsidRPr="004B5901">
        <w:rPr>
          <w:rFonts w:ascii="Bookman Old Style" w:hAnsi="Bookman Old Style"/>
          <w:b/>
          <w:bCs/>
          <w:sz w:val="28"/>
          <w:szCs w:val="28"/>
        </w:rPr>
        <w:t>ACTING JUSTICE OF APPEAL</w:t>
      </w:r>
    </w:p>
    <w:p w14:paraId="416232CD" w14:textId="77777777" w:rsidR="004B5901" w:rsidRPr="004B5901" w:rsidRDefault="004B5901" w:rsidP="004B5901">
      <w:pPr>
        <w:spacing w:before="240" w:line="360" w:lineRule="auto"/>
        <w:ind w:left="360"/>
        <w:jc w:val="both"/>
        <w:rPr>
          <w:rFonts w:ascii="Bookman Old Style" w:hAnsi="Bookman Old Style"/>
          <w:bCs/>
          <w:sz w:val="28"/>
          <w:szCs w:val="28"/>
        </w:rPr>
      </w:pPr>
      <w:r w:rsidRPr="004B5901">
        <w:rPr>
          <w:rFonts w:ascii="Bookman Old Style" w:hAnsi="Bookman Old Style"/>
          <w:bCs/>
          <w:sz w:val="28"/>
          <w:szCs w:val="28"/>
        </w:rPr>
        <w:t>I agree,</w:t>
      </w:r>
    </w:p>
    <w:p w14:paraId="6F43C3E0" w14:textId="4234F059" w:rsidR="004B5901" w:rsidRPr="004B5901" w:rsidRDefault="004F3350" w:rsidP="004F3350">
      <w:pPr>
        <w:spacing w:before="240" w:line="240" w:lineRule="auto"/>
        <w:ind w:left="357"/>
        <w:jc w:val="center"/>
        <w:rPr>
          <w:rFonts w:ascii="Bookman Old Style" w:hAnsi="Bookman Old Style"/>
          <w:bCs/>
          <w:sz w:val="28"/>
          <w:szCs w:val="28"/>
        </w:rPr>
      </w:pPr>
      <w:r w:rsidRPr="004F3350">
        <w:rPr>
          <w:rFonts w:ascii="Bookman Old Style" w:hAnsi="Bookman Old Style"/>
          <w:bCs/>
          <w:noProof/>
          <w:sz w:val="28"/>
          <w:szCs w:val="28"/>
          <w:lang w:eastAsia="en-ZA"/>
        </w:rPr>
        <w:drawing>
          <wp:inline distT="0" distB="0" distL="0" distR="0" wp14:anchorId="430B51EE" wp14:editId="0546C736">
            <wp:extent cx="1914525" cy="533400"/>
            <wp:effectExtent l="0" t="0" r="9525" b="0"/>
            <wp:docPr id="2" name="Picture 2" descr="C:\Users\user\Pictures\electronic signa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electronic signatur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533400"/>
                    </a:xfrm>
                    <a:prstGeom prst="rect">
                      <a:avLst/>
                    </a:prstGeom>
                    <a:noFill/>
                    <a:ln>
                      <a:noFill/>
                    </a:ln>
                  </pic:spPr>
                </pic:pic>
              </a:graphicData>
            </a:graphic>
          </wp:inline>
        </w:drawing>
      </w:r>
    </w:p>
    <w:p w14:paraId="15BE6DAD" w14:textId="77777777" w:rsidR="004B5901" w:rsidRPr="004B5901" w:rsidRDefault="004B5901" w:rsidP="004F3350">
      <w:pPr>
        <w:spacing w:before="240" w:line="240" w:lineRule="auto"/>
        <w:ind w:left="357"/>
        <w:jc w:val="center"/>
        <w:rPr>
          <w:rFonts w:ascii="Bookman Old Style" w:hAnsi="Bookman Old Style"/>
          <w:b/>
          <w:bCs/>
          <w:sz w:val="28"/>
          <w:szCs w:val="28"/>
        </w:rPr>
      </w:pPr>
      <w:r w:rsidRPr="004B5901">
        <w:rPr>
          <w:rFonts w:ascii="Bookman Old Style" w:hAnsi="Bookman Old Style"/>
          <w:b/>
          <w:bCs/>
          <w:sz w:val="28"/>
          <w:szCs w:val="28"/>
        </w:rPr>
        <w:t>_____________________________</w:t>
      </w:r>
    </w:p>
    <w:p w14:paraId="3F5CA8F7" w14:textId="56E3F0B9" w:rsidR="007637EE" w:rsidRDefault="007637EE" w:rsidP="004F3350">
      <w:pPr>
        <w:spacing w:before="240" w:line="240" w:lineRule="auto"/>
        <w:ind w:left="357"/>
        <w:jc w:val="center"/>
        <w:rPr>
          <w:rFonts w:ascii="Bookman Old Style" w:hAnsi="Bookman Old Style"/>
          <w:b/>
          <w:bCs/>
          <w:sz w:val="28"/>
          <w:szCs w:val="28"/>
        </w:rPr>
      </w:pPr>
      <w:r w:rsidRPr="007637EE">
        <w:rPr>
          <w:rFonts w:ascii="Bookman Old Style" w:hAnsi="Bookman Old Style"/>
          <w:b/>
          <w:bCs/>
          <w:sz w:val="28"/>
          <w:szCs w:val="28"/>
        </w:rPr>
        <w:t xml:space="preserve">M H CHINHENGO AJA </w:t>
      </w:r>
    </w:p>
    <w:p w14:paraId="30ACED84" w14:textId="60CAD742" w:rsidR="004B5901" w:rsidRPr="004B5901" w:rsidRDefault="004B5901" w:rsidP="004F3350">
      <w:pPr>
        <w:spacing w:before="240" w:line="240" w:lineRule="auto"/>
        <w:ind w:left="357"/>
        <w:jc w:val="center"/>
        <w:rPr>
          <w:rFonts w:ascii="Bookman Old Style" w:hAnsi="Bookman Old Style"/>
          <w:b/>
          <w:bCs/>
          <w:sz w:val="28"/>
          <w:szCs w:val="28"/>
        </w:rPr>
      </w:pPr>
      <w:r w:rsidRPr="004B5901">
        <w:rPr>
          <w:rFonts w:ascii="Bookman Old Style" w:hAnsi="Bookman Old Style"/>
          <w:b/>
          <w:bCs/>
          <w:sz w:val="28"/>
          <w:szCs w:val="28"/>
        </w:rPr>
        <w:t>ACTING JUSTICE OF APPEAL</w:t>
      </w:r>
    </w:p>
    <w:p w14:paraId="75209E2B" w14:textId="77777777" w:rsidR="004B5901" w:rsidRPr="004B5901" w:rsidRDefault="004B5901" w:rsidP="004B5901">
      <w:pPr>
        <w:spacing w:before="240" w:line="360" w:lineRule="auto"/>
        <w:ind w:left="360"/>
        <w:jc w:val="center"/>
        <w:rPr>
          <w:rFonts w:ascii="Bookman Old Style" w:hAnsi="Bookman Old Style"/>
          <w:sz w:val="28"/>
          <w:szCs w:val="28"/>
        </w:rPr>
      </w:pPr>
    </w:p>
    <w:p w14:paraId="7F60C0D1" w14:textId="4D00AB9C" w:rsidR="004B5901" w:rsidRPr="004B5901" w:rsidRDefault="004B5901" w:rsidP="004B5901">
      <w:pPr>
        <w:spacing w:before="240" w:line="360" w:lineRule="auto"/>
        <w:ind w:left="360"/>
        <w:jc w:val="both"/>
        <w:rPr>
          <w:rFonts w:ascii="Bookman Old Style" w:hAnsi="Bookman Old Style"/>
          <w:sz w:val="28"/>
          <w:szCs w:val="28"/>
        </w:rPr>
      </w:pPr>
      <w:r w:rsidRPr="004B5901">
        <w:rPr>
          <w:rFonts w:ascii="Bookman Old Style" w:hAnsi="Bookman Old Style"/>
          <w:b/>
          <w:bCs/>
          <w:sz w:val="28"/>
          <w:szCs w:val="28"/>
        </w:rPr>
        <w:t>For the Appellant</w:t>
      </w:r>
      <w:r w:rsidRPr="004B5901">
        <w:rPr>
          <w:rFonts w:ascii="Bookman Old Style" w:hAnsi="Bookman Old Style"/>
          <w:sz w:val="28"/>
          <w:szCs w:val="28"/>
        </w:rPr>
        <w:t xml:space="preserve">:                 </w:t>
      </w:r>
      <w:r w:rsidR="00F410AB">
        <w:rPr>
          <w:rFonts w:ascii="Bookman Old Style" w:hAnsi="Bookman Old Style"/>
          <w:sz w:val="28"/>
          <w:szCs w:val="28"/>
        </w:rPr>
        <w:t>M</w:t>
      </w:r>
      <w:r w:rsidR="00E81FA4">
        <w:rPr>
          <w:rFonts w:ascii="Bookman Old Style" w:hAnsi="Bookman Old Style"/>
          <w:sz w:val="28"/>
          <w:szCs w:val="28"/>
        </w:rPr>
        <w:t>r</w:t>
      </w:r>
      <w:r w:rsidR="00F410AB">
        <w:rPr>
          <w:rFonts w:ascii="Bookman Old Style" w:hAnsi="Bookman Old Style"/>
          <w:sz w:val="28"/>
          <w:szCs w:val="28"/>
        </w:rPr>
        <w:t xml:space="preserve"> T MATOOANE</w:t>
      </w:r>
    </w:p>
    <w:p w14:paraId="3DD21307" w14:textId="7A528FC6" w:rsidR="004B5901" w:rsidRPr="004B5901" w:rsidRDefault="004B5901" w:rsidP="004B5901">
      <w:pPr>
        <w:spacing w:before="240" w:line="360" w:lineRule="auto"/>
        <w:ind w:left="360"/>
        <w:jc w:val="both"/>
        <w:rPr>
          <w:rFonts w:ascii="Bookman Old Style" w:hAnsi="Bookman Old Style"/>
          <w:sz w:val="28"/>
          <w:szCs w:val="28"/>
        </w:rPr>
      </w:pPr>
      <w:r w:rsidRPr="004B5901">
        <w:rPr>
          <w:rFonts w:ascii="Bookman Old Style" w:hAnsi="Bookman Old Style"/>
          <w:b/>
          <w:bCs/>
          <w:sz w:val="28"/>
          <w:szCs w:val="28"/>
        </w:rPr>
        <w:t>For the</w:t>
      </w:r>
      <w:r w:rsidR="00D858D8">
        <w:rPr>
          <w:rFonts w:ascii="Bookman Old Style" w:hAnsi="Bookman Old Style"/>
          <w:b/>
          <w:bCs/>
          <w:sz w:val="28"/>
          <w:szCs w:val="28"/>
        </w:rPr>
        <w:t xml:space="preserve"> First</w:t>
      </w:r>
      <w:r w:rsidRPr="004B5901">
        <w:rPr>
          <w:rFonts w:ascii="Bookman Old Style" w:hAnsi="Bookman Old Style"/>
          <w:b/>
          <w:bCs/>
          <w:sz w:val="28"/>
          <w:szCs w:val="28"/>
        </w:rPr>
        <w:t xml:space="preserve"> Respondent:</w:t>
      </w:r>
      <w:r w:rsidRPr="004B5901">
        <w:rPr>
          <w:rFonts w:ascii="Bookman Old Style" w:hAnsi="Bookman Old Style"/>
          <w:sz w:val="28"/>
          <w:szCs w:val="28"/>
        </w:rPr>
        <w:t xml:space="preserve">    Adv </w:t>
      </w:r>
      <w:r w:rsidR="001603EB">
        <w:rPr>
          <w:rFonts w:ascii="Bookman Old Style" w:hAnsi="Bookman Old Style"/>
          <w:sz w:val="28"/>
          <w:szCs w:val="28"/>
        </w:rPr>
        <w:t>T.A. LESAOANA</w:t>
      </w:r>
    </w:p>
    <w:p w14:paraId="3F30CC2F" w14:textId="77777777" w:rsidR="004B5901" w:rsidRPr="004B5901" w:rsidRDefault="004B5901" w:rsidP="004B5901">
      <w:pPr>
        <w:spacing w:before="240" w:line="360" w:lineRule="auto"/>
        <w:ind w:left="360"/>
        <w:jc w:val="both"/>
        <w:rPr>
          <w:rFonts w:ascii="Bookman Old Style" w:hAnsi="Bookman Old Style"/>
          <w:sz w:val="28"/>
          <w:szCs w:val="28"/>
        </w:rPr>
      </w:pPr>
    </w:p>
    <w:sectPr w:rsidR="004B5901" w:rsidRPr="004B590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3B87" w14:textId="77777777" w:rsidR="001B20EB" w:rsidRDefault="001B20EB" w:rsidP="00866AE8">
      <w:pPr>
        <w:spacing w:after="0" w:line="240" w:lineRule="auto"/>
      </w:pPr>
      <w:r>
        <w:separator/>
      </w:r>
    </w:p>
  </w:endnote>
  <w:endnote w:type="continuationSeparator" w:id="0">
    <w:p w14:paraId="258328D9" w14:textId="77777777" w:rsidR="001B20EB" w:rsidRDefault="001B20EB" w:rsidP="0086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398643"/>
      <w:docPartObj>
        <w:docPartGallery w:val="Page Numbers (Bottom of Page)"/>
        <w:docPartUnique/>
      </w:docPartObj>
    </w:sdtPr>
    <w:sdtEndPr>
      <w:rPr>
        <w:noProof/>
      </w:rPr>
    </w:sdtEndPr>
    <w:sdtContent>
      <w:p w14:paraId="0BD28AED" w14:textId="514C1639" w:rsidR="00755DCF" w:rsidRDefault="00755DCF">
        <w:pPr>
          <w:pStyle w:val="Footer"/>
          <w:jc w:val="right"/>
        </w:pPr>
        <w:r>
          <w:fldChar w:fldCharType="begin"/>
        </w:r>
        <w:r>
          <w:instrText xml:space="preserve"> PAGE   \* MERGEFORMAT </w:instrText>
        </w:r>
        <w:r>
          <w:fldChar w:fldCharType="separate"/>
        </w:r>
        <w:r w:rsidR="00075B95">
          <w:rPr>
            <w:noProof/>
          </w:rPr>
          <w:t>2</w:t>
        </w:r>
        <w:r>
          <w:rPr>
            <w:noProof/>
          </w:rPr>
          <w:fldChar w:fldCharType="end"/>
        </w:r>
      </w:p>
    </w:sdtContent>
  </w:sdt>
  <w:p w14:paraId="257A433B" w14:textId="77777777" w:rsidR="00125996" w:rsidRDefault="0012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69C35" w14:textId="77777777" w:rsidR="001B20EB" w:rsidRDefault="001B20EB" w:rsidP="00866AE8">
      <w:pPr>
        <w:spacing w:after="0" w:line="240" w:lineRule="auto"/>
      </w:pPr>
      <w:r>
        <w:separator/>
      </w:r>
    </w:p>
  </w:footnote>
  <w:footnote w:type="continuationSeparator" w:id="0">
    <w:p w14:paraId="431C5AAC" w14:textId="77777777" w:rsidR="001B20EB" w:rsidRDefault="001B20EB" w:rsidP="00866AE8">
      <w:pPr>
        <w:spacing w:after="0" w:line="240" w:lineRule="auto"/>
      </w:pPr>
      <w:r>
        <w:continuationSeparator/>
      </w:r>
    </w:p>
  </w:footnote>
  <w:footnote w:id="1">
    <w:p w14:paraId="5339C47F" w14:textId="1FAA22AA" w:rsidR="00E77D24" w:rsidRPr="008A4D3D" w:rsidRDefault="00E77D24" w:rsidP="008A4D3D">
      <w:pPr>
        <w:pStyle w:val="FootnoteText"/>
        <w:jc w:val="both"/>
        <w:rPr>
          <w:sz w:val="24"/>
          <w:szCs w:val="24"/>
          <w:lang w:val="en-GB"/>
        </w:rPr>
      </w:pPr>
      <w:r w:rsidRPr="008A4D3D">
        <w:rPr>
          <w:rStyle w:val="FootnoteReference"/>
          <w:sz w:val="24"/>
          <w:szCs w:val="24"/>
        </w:rPr>
        <w:footnoteRef/>
      </w:r>
      <w:r w:rsidRPr="008A4D3D">
        <w:rPr>
          <w:sz w:val="24"/>
          <w:szCs w:val="24"/>
        </w:rPr>
        <w:t xml:space="preserve"> Section 6 of the High Court Act No.5 of 1978</w:t>
      </w:r>
    </w:p>
  </w:footnote>
  <w:footnote w:id="2">
    <w:p w14:paraId="3AB135EB" w14:textId="36A8E185" w:rsidR="00F93242" w:rsidRPr="008A4D3D" w:rsidRDefault="00F93242" w:rsidP="008A4D3D">
      <w:pPr>
        <w:pStyle w:val="FootnoteText"/>
        <w:jc w:val="both"/>
        <w:rPr>
          <w:sz w:val="24"/>
          <w:szCs w:val="24"/>
          <w:lang w:val="en-GB"/>
        </w:rPr>
      </w:pPr>
      <w:r w:rsidRPr="008A4D3D">
        <w:rPr>
          <w:rStyle w:val="FootnoteReference"/>
          <w:sz w:val="24"/>
          <w:szCs w:val="24"/>
        </w:rPr>
        <w:footnoteRef/>
      </w:r>
      <w:r w:rsidRPr="008A4D3D">
        <w:rPr>
          <w:sz w:val="24"/>
          <w:szCs w:val="24"/>
        </w:rPr>
        <w:t xml:space="preserve"> Mohaleroe Sello &amp; Co v N Mphanya.</w:t>
      </w:r>
      <w:r w:rsidRPr="008A4D3D">
        <w:rPr>
          <w:rFonts w:ascii="Courier New" w:eastAsia="Times New Roman" w:hAnsi="Courier New" w:cs="Courier New"/>
          <w:sz w:val="24"/>
          <w:szCs w:val="24"/>
          <w:lang w:eastAsia="en-ZA"/>
        </w:rPr>
        <w:t xml:space="preserve"> </w:t>
      </w:r>
      <w:r w:rsidRPr="008A4D3D">
        <w:rPr>
          <w:sz w:val="24"/>
          <w:szCs w:val="24"/>
        </w:rPr>
        <w:t>C   OF  A  (CIV)   NO.35   OF  1995 at para 3.</w:t>
      </w:r>
    </w:p>
  </w:footnote>
  <w:footnote w:id="3">
    <w:p w14:paraId="5B6B476C" w14:textId="7DB9AB2E" w:rsidR="008C2603" w:rsidRPr="008C2603" w:rsidRDefault="008C2603">
      <w:pPr>
        <w:pStyle w:val="FootnoteText"/>
        <w:rPr>
          <w:lang w:val="en-GB"/>
        </w:rPr>
      </w:pPr>
      <w:r>
        <w:rPr>
          <w:rStyle w:val="FootnoteReference"/>
        </w:rPr>
        <w:footnoteRef/>
      </w:r>
      <w:r>
        <w:t xml:space="preserve"> </w:t>
      </w:r>
      <w:r w:rsidRPr="008C2603">
        <w:rPr>
          <w:bCs/>
          <w:iCs/>
          <w:sz w:val="24"/>
          <w:szCs w:val="24"/>
        </w:rPr>
        <w:t>Nko v Nko</w:t>
      </w:r>
      <w:r w:rsidRPr="008C2603">
        <w:rPr>
          <w:rFonts w:ascii="inherit" w:hAnsi="inherit"/>
          <w:bCs/>
          <w:iCs/>
          <w:color w:val="333333"/>
          <w:sz w:val="24"/>
          <w:szCs w:val="24"/>
          <w:bdr w:val="none" w:sz="0" w:space="0" w:color="auto" w:frame="1"/>
          <w:shd w:val="clear" w:color="auto" w:fill="FFFFFF"/>
        </w:rPr>
        <w:t xml:space="preserve"> </w:t>
      </w:r>
      <w:r w:rsidRPr="008C2603">
        <w:rPr>
          <w:bCs/>
          <w:iCs/>
          <w:sz w:val="24"/>
          <w:szCs w:val="24"/>
        </w:rPr>
        <w:t>1994 (LAC) 312.</w:t>
      </w:r>
    </w:p>
  </w:footnote>
  <w:footnote w:id="4">
    <w:p w14:paraId="11BD9A57" w14:textId="28D799B3" w:rsidR="0023692F" w:rsidRPr="008A4D3D" w:rsidRDefault="0023692F" w:rsidP="008A4D3D">
      <w:pPr>
        <w:pStyle w:val="FootnoteText"/>
        <w:jc w:val="both"/>
        <w:rPr>
          <w:sz w:val="24"/>
          <w:szCs w:val="24"/>
          <w:lang w:val="en-GB"/>
        </w:rPr>
      </w:pPr>
      <w:r w:rsidRPr="008A4D3D">
        <w:rPr>
          <w:rStyle w:val="FootnoteReference"/>
          <w:sz w:val="24"/>
          <w:szCs w:val="24"/>
        </w:rPr>
        <w:footnoteRef/>
      </w:r>
      <w:r w:rsidRPr="008A4D3D">
        <w:rPr>
          <w:sz w:val="24"/>
          <w:szCs w:val="24"/>
        </w:rPr>
        <w:t xml:space="preserve"> Paragraphs 18 - 23. See Santam Ltd v Ethwar 1999 (2) SA 244 (SCA) ([1999] 1 All SA 252) at 253B - D.</w:t>
      </w:r>
    </w:p>
  </w:footnote>
  <w:footnote w:id="5">
    <w:p w14:paraId="2B1FF156" w14:textId="404D3B36" w:rsidR="00CD47F9" w:rsidRPr="008A4D3D" w:rsidRDefault="00CD47F9" w:rsidP="008A4D3D">
      <w:pPr>
        <w:pStyle w:val="FootnoteText"/>
        <w:jc w:val="both"/>
        <w:rPr>
          <w:sz w:val="24"/>
          <w:szCs w:val="24"/>
        </w:rPr>
      </w:pPr>
      <w:r w:rsidRPr="008A4D3D">
        <w:rPr>
          <w:rStyle w:val="FootnoteReference"/>
          <w:sz w:val="24"/>
          <w:szCs w:val="24"/>
        </w:rPr>
        <w:footnoteRef/>
      </w:r>
      <w:r w:rsidRPr="008A4D3D">
        <w:rPr>
          <w:sz w:val="24"/>
          <w:szCs w:val="24"/>
        </w:rPr>
        <w:t xml:space="preserve"> Linsta v Mahloko and Others C of A (CIV) No.20 of 2002.</w:t>
      </w:r>
    </w:p>
    <w:p w14:paraId="55D33E37" w14:textId="30B866BC" w:rsidR="00CD47F9" w:rsidRPr="008A4D3D" w:rsidRDefault="00CD47F9" w:rsidP="008A4D3D">
      <w:pPr>
        <w:pStyle w:val="FootnoteText"/>
        <w:jc w:val="both"/>
        <w:rPr>
          <w:sz w:val="24"/>
          <w:szCs w:val="24"/>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2A5"/>
    <w:multiLevelType w:val="hybridMultilevel"/>
    <w:tmpl w:val="7D629A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717180"/>
    <w:multiLevelType w:val="hybridMultilevel"/>
    <w:tmpl w:val="D3DC49EC"/>
    <w:lvl w:ilvl="0" w:tplc="3B7EA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1196"/>
    <w:multiLevelType w:val="hybridMultilevel"/>
    <w:tmpl w:val="038A1D30"/>
    <w:lvl w:ilvl="0" w:tplc="0E3EB7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43651E"/>
    <w:multiLevelType w:val="hybridMultilevel"/>
    <w:tmpl w:val="2770583A"/>
    <w:lvl w:ilvl="0" w:tplc="D054AF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E301B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341AD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440BEE"/>
    <w:multiLevelType w:val="hybridMultilevel"/>
    <w:tmpl w:val="370C3F64"/>
    <w:lvl w:ilvl="0" w:tplc="92D206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CA6157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1F2B6F"/>
    <w:multiLevelType w:val="multilevel"/>
    <w:tmpl w:val="1396A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C111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3F6164"/>
    <w:multiLevelType w:val="multilevel"/>
    <w:tmpl w:val="4A6A5724"/>
    <w:lvl w:ilvl="0">
      <w:start w:val="1"/>
      <w:numFmt w:val="lowerLetter"/>
      <w:lvlText w:val="%1."/>
      <w:lvlJc w:val="left"/>
      <w:pPr>
        <w:tabs>
          <w:tab w:val="num" w:pos="720"/>
        </w:tabs>
        <w:ind w:left="720" w:hanging="360"/>
      </w:pPr>
    </w:lvl>
    <w:lvl w:ilvl="1">
      <w:start w:val="14"/>
      <w:numFmt w:val="decimal"/>
      <w:lvlText w:val="%2."/>
      <w:lvlJc w:val="left"/>
      <w:pPr>
        <w:ind w:left="1530" w:hanging="45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A5D3C7E"/>
    <w:multiLevelType w:val="hybridMultilevel"/>
    <w:tmpl w:val="D3DC49EC"/>
    <w:lvl w:ilvl="0" w:tplc="3B7EA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F611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1205B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59648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CD491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82346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827AEA"/>
    <w:multiLevelType w:val="multilevel"/>
    <w:tmpl w:val="77E647E0"/>
    <w:lvl w:ilvl="0">
      <w:start w:val="1"/>
      <w:numFmt w:val="lowerLetter"/>
      <w:lvlText w:val="%1."/>
      <w:lvlJc w:val="left"/>
      <w:pPr>
        <w:tabs>
          <w:tab w:val="num" w:pos="720"/>
        </w:tabs>
        <w:ind w:left="720" w:hanging="360"/>
      </w:pPr>
      <w:rPr>
        <w:b w:val="0"/>
      </w:rPr>
    </w:lvl>
    <w:lvl w:ilvl="1">
      <w:start w:val="14"/>
      <w:numFmt w:val="decimal"/>
      <w:lvlText w:val="%2."/>
      <w:lvlJc w:val="left"/>
      <w:pPr>
        <w:ind w:left="1530" w:hanging="45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64363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922AF"/>
    <w:multiLevelType w:val="hybridMultilevel"/>
    <w:tmpl w:val="3AF88E0E"/>
    <w:lvl w:ilvl="0" w:tplc="367EC7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A0D072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670E75"/>
    <w:multiLevelType w:val="hybridMultilevel"/>
    <w:tmpl w:val="0AC0B9B0"/>
    <w:lvl w:ilvl="0" w:tplc="9BCAFC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12"/>
  </w:num>
  <w:num w:numId="5">
    <w:abstractNumId w:val="6"/>
  </w:num>
  <w:num w:numId="6">
    <w:abstractNumId w:val="17"/>
  </w:num>
  <w:num w:numId="7">
    <w:abstractNumId w:val="7"/>
  </w:num>
  <w:num w:numId="8">
    <w:abstractNumId w:val="13"/>
  </w:num>
  <w:num w:numId="9">
    <w:abstractNumId w:val="15"/>
  </w:num>
  <w:num w:numId="10">
    <w:abstractNumId w:val="20"/>
  </w:num>
  <w:num w:numId="11">
    <w:abstractNumId w:val="16"/>
  </w:num>
  <w:num w:numId="12">
    <w:abstractNumId w:val="5"/>
  </w:num>
  <w:num w:numId="13">
    <w:abstractNumId w:val="9"/>
  </w:num>
  <w:num w:numId="14">
    <w:abstractNumId w:val="1"/>
  </w:num>
  <w:num w:numId="15">
    <w:abstractNumId w:val="11"/>
  </w:num>
  <w:num w:numId="16">
    <w:abstractNumId w:val="8"/>
  </w:num>
  <w:num w:numId="17">
    <w:abstractNumId w:val="14"/>
  </w:num>
  <w:num w:numId="18">
    <w:abstractNumId w:val="18"/>
  </w:num>
  <w:num w:numId="19">
    <w:abstractNumId w:val="3"/>
  </w:num>
  <w:num w:numId="20">
    <w:abstractNumId w:val="2"/>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C9"/>
    <w:rsid w:val="0000538F"/>
    <w:rsid w:val="00012EF9"/>
    <w:rsid w:val="00016EAF"/>
    <w:rsid w:val="00017255"/>
    <w:rsid w:val="000361A8"/>
    <w:rsid w:val="00075B95"/>
    <w:rsid w:val="000764C6"/>
    <w:rsid w:val="00081E60"/>
    <w:rsid w:val="000854C8"/>
    <w:rsid w:val="0008600C"/>
    <w:rsid w:val="000B75E8"/>
    <w:rsid w:val="000C7323"/>
    <w:rsid w:val="000C7796"/>
    <w:rsid w:val="000E0C92"/>
    <w:rsid w:val="000E1716"/>
    <w:rsid w:val="000F4493"/>
    <w:rsid w:val="001029FC"/>
    <w:rsid w:val="0011372F"/>
    <w:rsid w:val="00125996"/>
    <w:rsid w:val="00131967"/>
    <w:rsid w:val="001328FE"/>
    <w:rsid w:val="00141659"/>
    <w:rsid w:val="001603EB"/>
    <w:rsid w:val="001608E7"/>
    <w:rsid w:val="001665F5"/>
    <w:rsid w:val="001729D6"/>
    <w:rsid w:val="001A0769"/>
    <w:rsid w:val="001A0D43"/>
    <w:rsid w:val="001B20EB"/>
    <w:rsid w:val="001C55B1"/>
    <w:rsid w:val="001D3765"/>
    <w:rsid w:val="001E4688"/>
    <w:rsid w:val="001F0730"/>
    <w:rsid w:val="00203E7F"/>
    <w:rsid w:val="0020452D"/>
    <w:rsid w:val="00222763"/>
    <w:rsid w:val="0022351E"/>
    <w:rsid w:val="00224174"/>
    <w:rsid w:val="00233098"/>
    <w:rsid w:val="0023692F"/>
    <w:rsid w:val="00240562"/>
    <w:rsid w:val="00246869"/>
    <w:rsid w:val="00262D52"/>
    <w:rsid w:val="0026568B"/>
    <w:rsid w:val="00267DF1"/>
    <w:rsid w:val="0027634A"/>
    <w:rsid w:val="002834B3"/>
    <w:rsid w:val="002B221B"/>
    <w:rsid w:val="002D1843"/>
    <w:rsid w:val="002D541E"/>
    <w:rsid w:val="002D5E0F"/>
    <w:rsid w:val="002E50BB"/>
    <w:rsid w:val="002F6785"/>
    <w:rsid w:val="00304677"/>
    <w:rsid w:val="00307836"/>
    <w:rsid w:val="00321411"/>
    <w:rsid w:val="00332F66"/>
    <w:rsid w:val="00334880"/>
    <w:rsid w:val="00340FD8"/>
    <w:rsid w:val="003509ED"/>
    <w:rsid w:val="003516E3"/>
    <w:rsid w:val="00360604"/>
    <w:rsid w:val="00370A19"/>
    <w:rsid w:val="003732E3"/>
    <w:rsid w:val="00382483"/>
    <w:rsid w:val="003849F9"/>
    <w:rsid w:val="00385588"/>
    <w:rsid w:val="003901FD"/>
    <w:rsid w:val="0039041F"/>
    <w:rsid w:val="003A6764"/>
    <w:rsid w:val="003B5597"/>
    <w:rsid w:val="003B5655"/>
    <w:rsid w:val="003D10F7"/>
    <w:rsid w:val="003D20EB"/>
    <w:rsid w:val="003E05DA"/>
    <w:rsid w:val="003E7326"/>
    <w:rsid w:val="003F3765"/>
    <w:rsid w:val="003F6E63"/>
    <w:rsid w:val="0040240E"/>
    <w:rsid w:val="00412AB7"/>
    <w:rsid w:val="004234FD"/>
    <w:rsid w:val="004264B5"/>
    <w:rsid w:val="00432801"/>
    <w:rsid w:val="00433F7F"/>
    <w:rsid w:val="004374EE"/>
    <w:rsid w:val="004752C7"/>
    <w:rsid w:val="00480E46"/>
    <w:rsid w:val="004838C3"/>
    <w:rsid w:val="004B19B6"/>
    <w:rsid w:val="004B5901"/>
    <w:rsid w:val="004C0097"/>
    <w:rsid w:val="004C2B68"/>
    <w:rsid w:val="004C71B0"/>
    <w:rsid w:val="004D0EFD"/>
    <w:rsid w:val="004D3F9F"/>
    <w:rsid w:val="004E6905"/>
    <w:rsid w:val="004E7D92"/>
    <w:rsid w:val="004F224F"/>
    <w:rsid w:val="004F3350"/>
    <w:rsid w:val="004F360E"/>
    <w:rsid w:val="004F7F2E"/>
    <w:rsid w:val="00516E73"/>
    <w:rsid w:val="00523C2E"/>
    <w:rsid w:val="00540C95"/>
    <w:rsid w:val="00540FAB"/>
    <w:rsid w:val="00565A3B"/>
    <w:rsid w:val="00572EC0"/>
    <w:rsid w:val="00591EE7"/>
    <w:rsid w:val="005947E6"/>
    <w:rsid w:val="005A635E"/>
    <w:rsid w:val="005B1A35"/>
    <w:rsid w:val="005C314D"/>
    <w:rsid w:val="005C3A94"/>
    <w:rsid w:val="005C74CF"/>
    <w:rsid w:val="005D5225"/>
    <w:rsid w:val="005D7AA2"/>
    <w:rsid w:val="006003C9"/>
    <w:rsid w:val="00606540"/>
    <w:rsid w:val="0060751F"/>
    <w:rsid w:val="00625446"/>
    <w:rsid w:val="006339EE"/>
    <w:rsid w:val="00634E51"/>
    <w:rsid w:val="00653E0F"/>
    <w:rsid w:val="00660ABD"/>
    <w:rsid w:val="00681017"/>
    <w:rsid w:val="00683615"/>
    <w:rsid w:val="00684726"/>
    <w:rsid w:val="00686D8A"/>
    <w:rsid w:val="00687B50"/>
    <w:rsid w:val="006A712B"/>
    <w:rsid w:val="006C571A"/>
    <w:rsid w:val="0073238C"/>
    <w:rsid w:val="007448DA"/>
    <w:rsid w:val="0075481D"/>
    <w:rsid w:val="00755DCF"/>
    <w:rsid w:val="007637EE"/>
    <w:rsid w:val="00776480"/>
    <w:rsid w:val="00777603"/>
    <w:rsid w:val="007B162B"/>
    <w:rsid w:val="007B4093"/>
    <w:rsid w:val="007B7B3D"/>
    <w:rsid w:val="007C2AD4"/>
    <w:rsid w:val="007C4088"/>
    <w:rsid w:val="007E799F"/>
    <w:rsid w:val="007F1551"/>
    <w:rsid w:val="007F2EAC"/>
    <w:rsid w:val="007F54DA"/>
    <w:rsid w:val="00805B02"/>
    <w:rsid w:val="00810D3D"/>
    <w:rsid w:val="00814AB1"/>
    <w:rsid w:val="00817173"/>
    <w:rsid w:val="0083648F"/>
    <w:rsid w:val="00847554"/>
    <w:rsid w:val="00860A5C"/>
    <w:rsid w:val="008610DB"/>
    <w:rsid w:val="008616B1"/>
    <w:rsid w:val="00865695"/>
    <w:rsid w:val="00866AE8"/>
    <w:rsid w:val="00870DC0"/>
    <w:rsid w:val="00882C94"/>
    <w:rsid w:val="00885924"/>
    <w:rsid w:val="0088768F"/>
    <w:rsid w:val="00890AB0"/>
    <w:rsid w:val="00896F0D"/>
    <w:rsid w:val="008A40C9"/>
    <w:rsid w:val="008A4D3D"/>
    <w:rsid w:val="008B6B40"/>
    <w:rsid w:val="008C2603"/>
    <w:rsid w:val="008E208E"/>
    <w:rsid w:val="008E2485"/>
    <w:rsid w:val="008E472C"/>
    <w:rsid w:val="008E49EE"/>
    <w:rsid w:val="008F04DC"/>
    <w:rsid w:val="008F1826"/>
    <w:rsid w:val="00904959"/>
    <w:rsid w:val="00904F11"/>
    <w:rsid w:val="009051D2"/>
    <w:rsid w:val="00917A0D"/>
    <w:rsid w:val="009518E9"/>
    <w:rsid w:val="009544C9"/>
    <w:rsid w:val="0096669C"/>
    <w:rsid w:val="00980478"/>
    <w:rsid w:val="00990405"/>
    <w:rsid w:val="00991B40"/>
    <w:rsid w:val="00995495"/>
    <w:rsid w:val="009A6D91"/>
    <w:rsid w:val="009B1502"/>
    <w:rsid w:val="009B2D42"/>
    <w:rsid w:val="009B37C7"/>
    <w:rsid w:val="009B4C45"/>
    <w:rsid w:val="009C028E"/>
    <w:rsid w:val="009C0534"/>
    <w:rsid w:val="009C5582"/>
    <w:rsid w:val="009E6B5F"/>
    <w:rsid w:val="00A03DE9"/>
    <w:rsid w:val="00A04886"/>
    <w:rsid w:val="00A15360"/>
    <w:rsid w:val="00A31E05"/>
    <w:rsid w:val="00A51D4A"/>
    <w:rsid w:val="00A53612"/>
    <w:rsid w:val="00A654ED"/>
    <w:rsid w:val="00A76F7E"/>
    <w:rsid w:val="00A778EB"/>
    <w:rsid w:val="00A91333"/>
    <w:rsid w:val="00A92422"/>
    <w:rsid w:val="00AA32A7"/>
    <w:rsid w:val="00AA4226"/>
    <w:rsid w:val="00AA4D69"/>
    <w:rsid w:val="00AB68E6"/>
    <w:rsid w:val="00AC537C"/>
    <w:rsid w:val="00AE5328"/>
    <w:rsid w:val="00AE5A36"/>
    <w:rsid w:val="00AF5328"/>
    <w:rsid w:val="00B13D3A"/>
    <w:rsid w:val="00B165A7"/>
    <w:rsid w:val="00B215CE"/>
    <w:rsid w:val="00B340BB"/>
    <w:rsid w:val="00B556BC"/>
    <w:rsid w:val="00B63EAA"/>
    <w:rsid w:val="00B7459E"/>
    <w:rsid w:val="00BA1DD0"/>
    <w:rsid w:val="00BB4650"/>
    <w:rsid w:val="00BB6F85"/>
    <w:rsid w:val="00BC2382"/>
    <w:rsid w:val="00BC52B3"/>
    <w:rsid w:val="00BD4B60"/>
    <w:rsid w:val="00C02A36"/>
    <w:rsid w:val="00C054DE"/>
    <w:rsid w:val="00C10496"/>
    <w:rsid w:val="00C3141D"/>
    <w:rsid w:val="00C31E82"/>
    <w:rsid w:val="00C41C56"/>
    <w:rsid w:val="00C46ECC"/>
    <w:rsid w:val="00C73F64"/>
    <w:rsid w:val="00C85A65"/>
    <w:rsid w:val="00C860C8"/>
    <w:rsid w:val="00CA35B0"/>
    <w:rsid w:val="00CB1673"/>
    <w:rsid w:val="00CB7C9C"/>
    <w:rsid w:val="00CC0FF2"/>
    <w:rsid w:val="00CC61BE"/>
    <w:rsid w:val="00CD47F9"/>
    <w:rsid w:val="00CE3B29"/>
    <w:rsid w:val="00CF405F"/>
    <w:rsid w:val="00CF7116"/>
    <w:rsid w:val="00D025E4"/>
    <w:rsid w:val="00D03DB6"/>
    <w:rsid w:val="00D14674"/>
    <w:rsid w:val="00D22DD1"/>
    <w:rsid w:val="00D27306"/>
    <w:rsid w:val="00D36FF4"/>
    <w:rsid w:val="00D46788"/>
    <w:rsid w:val="00D67CCC"/>
    <w:rsid w:val="00D858D8"/>
    <w:rsid w:val="00D91A9B"/>
    <w:rsid w:val="00DA73D1"/>
    <w:rsid w:val="00DB0740"/>
    <w:rsid w:val="00DB1DAF"/>
    <w:rsid w:val="00DC0CEE"/>
    <w:rsid w:val="00DD219A"/>
    <w:rsid w:val="00DF5924"/>
    <w:rsid w:val="00E02396"/>
    <w:rsid w:val="00E149E8"/>
    <w:rsid w:val="00E264DB"/>
    <w:rsid w:val="00E512ED"/>
    <w:rsid w:val="00E6328D"/>
    <w:rsid w:val="00E67197"/>
    <w:rsid w:val="00E67BDD"/>
    <w:rsid w:val="00E77D24"/>
    <w:rsid w:val="00E81FA4"/>
    <w:rsid w:val="00E8336E"/>
    <w:rsid w:val="00E937A5"/>
    <w:rsid w:val="00EA31CC"/>
    <w:rsid w:val="00EA3AEA"/>
    <w:rsid w:val="00EB1C33"/>
    <w:rsid w:val="00EC5023"/>
    <w:rsid w:val="00EC63E9"/>
    <w:rsid w:val="00EC74FF"/>
    <w:rsid w:val="00EE68FB"/>
    <w:rsid w:val="00EE73B8"/>
    <w:rsid w:val="00EE7409"/>
    <w:rsid w:val="00EF528B"/>
    <w:rsid w:val="00F12BDF"/>
    <w:rsid w:val="00F33501"/>
    <w:rsid w:val="00F349D3"/>
    <w:rsid w:val="00F3647E"/>
    <w:rsid w:val="00F410AB"/>
    <w:rsid w:val="00F42622"/>
    <w:rsid w:val="00F63CDD"/>
    <w:rsid w:val="00F65049"/>
    <w:rsid w:val="00F74655"/>
    <w:rsid w:val="00F7668E"/>
    <w:rsid w:val="00F91C5F"/>
    <w:rsid w:val="00F93242"/>
    <w:rsid w:val="00FA2A3E"/>
    <w:rsid w:val="00FC1D93"/>
    <w:rsid w:val="00FC4F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54FF"/>
  <w15:chartTrackingRefBased/>
  <w15:docId w15:val="{1601B758-79D8-4850-83C1-3E974ADF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B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323"/>
    <w:pPr>
      <w:ind w:left="720"/>
      <w:contextualSpacing/>
    </w:pPr>
  </w:style>
  <w:style w:type="paragraph" w:styleId="FootnoteText">
    <w:name w:val="footnote text"/>
    <w:basedOn w:val="Normal"/>
    <w:link w:val="FootnoteTextChar"/>
    <w:uiPriority w:val="99"/>
    <w:semiHidden/>
    <w:unhideWhenUsed/>
    <w:rsid w:val="00866A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AE8"/>
    <w:rPr>
      <w:sz w:val="20"/>
      <w:szCs w:val="20"/>
    </w:rPr>
  </w:style>
  <w:style w:type="character" w:styleId="FootnoteReference">
    <w:name w:val="footnote reference"/>
    <w:basedOn w:val="DefaultParagraphFont"/>
    <w:uiPriority w:val="99"/>
    <w:semiHidden/>
    <w:unhideWhenUsed/>
    <w:rsid w:val="00866AE8"/>
    <w:rPr>
      <w:vertAlign w:val="superscript"/>
    </w:rPr>
  </w:style>
  <w:style w:type="character" w:styleId="CommentReference">
    <w:name w:val="annotation reference"/>
    <w:basedOn w:val="DefaultParagraphFont"/>
    <w:uiPriority w:val="99"/>
    <w:semiHidden/>
    <w:unhideWhenUsed/>
    <w:rsid w:val="004B5901"/>
    <w:rPr>
      <w:sz w:val="16"/>
      <w:szCs w:val="16"/>
    </w:rPr>
  </w:style>
  <w:style w:type="paragraph" w:styleId="CommentText">
    <w:name w:val="annotation text"/>
    <w:basedOn w:val="Normal"/>
    <w:link w:val="CommentTextChar"/>
    <w:uiPriority w:val="99"/>
    <w:semiHidden/>
    <w:unhideWhenUsed/>
    <w:rsid w:val="004B5901"/>
    <w:pPr>
      <w:spacing w:line="240" w:lineRule="auto"/>
    </w:pPr>
    <w:rPr>
      <w:sz w:val="20"/>
      <w:szCs w:val="20"/>
    </w:rPr>
  </w:style>
  <w:style w:type="character" w:customStyle="1" w:styleId="CommentTextChar">
    <w:name w:val="Comment Text Char"/>
    <w:basedOn w:val="DefaultParagraphFont"/>
    <w:link w:val="CommentText"/>
    <w:uiPriority w:val="99"/>
    <w:semiHidden/>
    <w:rsid w:val="004B5901"/>
    <w:rPr>
      <w:sz w:val="20"/>
      <w:szCs w:val="20"/>
    </w:rPr>
  </w:style>
  <w:style w:type="character" w:customStyle="1" w:styleId="Heading1Char">
    <w:name w:val="Heading 1 Char"/>
    <w:basedOn w:val="DefaultParagraphFont"/>
    <w:link w:val="Heading1"/>
    <w:uiPriority w:val="9"/>
    <w:rsid w:val="00CE3B2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051D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125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996"/>
  </w:style>
  <w:style w:type="paragraph" w:styleId="Footer">
    <w:name w:val="footer"/>
    <w:basedOn w:val="Normal"/>
    <w:link w:val="FooterChar"/>
    <w:uiPriority w:val="99"/>
    <w:unhideWhenUsed/>
    <w:rsid w:val="00125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996"/>
  </w:style>
  <w:style w:type="paragraph" w:styleId="BalloonText">
    <w:name w:val="Balloon Text"/>
    <w:basedOn w:val="Normal"/>
    <w:link w:val="BalloonTextChar"/>
    <w:uiPriority w:val="99"/>
    <w:semiHidden/>
    <w:unhideWhenUsed/>
    <w:rsid w:val="004E69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90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90405"/>
    <w:rPr>
      <w:b/>
      <w:bCs/>
    </w:rPr>
  </w:style>
  <w:style w:type="character" w:customStyle="1" w:styleId="CommentSubjectChar">
    <w:name w:val="Comment Subject Char"/>
    <w:basedOn w:val="CommentTextChar"/>
    <w:link w:val="CommentSubject"/>
    <w:uiPriority w:val="99"/>
    <w:semiHidden/>
    <w:rsid w:val="009904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06287">
      <w:bodyDiv w:val="1"/>
      <w:marLeft w:val="0"/>
      <w:marRight w:val="0"/>
      <w:marTop w:val="0"/>
      <w:marBottom w:val="0"/>
      <w:divBdr>
        <w:top w:val="none" w:sz="0" w:space="0" w:color="auto"/>
        <w:left w:val="none" w:sz="0" w:space="0" w:color="auto"/>
        <w:bottom w:val="none" w:sz="0" w:space="0" w:color="auto"/>
        <w:right w:val="none" w:sz="0" w:space="0" w:color="auto"/>
      </w:divBdr>
    </w:div>
    <w:div w:id="587620299">
      <w:bodyDiv w:val="1"/>
      <w:marLeft w:val="0"/>
      <w:marRight w:val="0"/>
      <w:marTop w:val="0"/>
      <w:marBottom w:val="0"/>
      <w:divBdr>
        <w:top w:val="none" w:sz="0" w:space="0" w:color="auto"/>
        <w:left w:val="none" w:sz="0" w:space="0" w:color="auto"/>
        <w:bottom w:val="none" w:sz="0" w:space="0" w:color="auto"/>
        <w:right w:val="none" w:sz="0" w:space="0" w:color="auto"/>
      </w:divBdr>
      <w:divsChild>
        <w:div w:id="1885630429">
          <w:marLeft w:val="0"/>
          <w:marRight w:val="0"/>
          <w:marTop w:val="0"/>
          <w:marBottom w:val="0"/>
          <w:divBdr>
            <w:top w:val="none" w:sz="0" w:space="0" w:color="auto"/>
            <w:left w:val="none" w:sz="0" w:space="0" w:color="auto"/>
            <w:bottom w:val="none" w:sz="0" w:space="0" w:color="auto"/>
            <w:right w:val="none" w:sz="0" w:space="0" w:color="auto"/>
          </w:divBdr>
        </w:div>
        <w:div w:id="582301437">
          <w:marLeft w:val="0"/>
          <w:marRight w:val="0"/>
          <w:marTop w:val="0"/>
          <w:marBottom w:val="0"/>
          <w:divBdr>
            <w:top w:val="none" w:sz="0" w:space="0" w:color="auto"/>
            <w:left w:val="none" w:sz="0" w:space="0" w:color="auto"/>
            <w:bottom w:val="none" w:sz="0" w:space="0" w:color="auto"/>
            <w:right w:val="none" w:sz="0" w:space="0" w:color="auto"/>
          </w:divBdr>
        </w:div>
        <w:div w:id="779639904">
          <w:marLeft w:val="0"/>
          <w:marRight w:val="0"/>
          <w:marTop w:val="0"/>
          <w:marBottom w:val="0"/>
          <w:divBdr>
            <w:top w:val="none" w:sz="0" w:space="0" w:color="auto"/>
            <w:left w:val="none" w:sz="0" w:space="0" w:color="auto"/>
            <w:bottom w:val="none" w:sz="0" w:space="0" w:color="auto"/>
            <w:right w:val="none" w:sz="0" w:space="0" w:color="auto"/>
          </w:divBdr>
        </w:div>
        <w:div w:id="1936598286">
          <w:marLeft w:val="0"/>
          <w:marRight w:val="0"/>
          <w:marTop w:val="0"/>
          <w:marBottom w:val="0"/>
          <w:divBdr>
            <w:top w:val="none" w:sz="0" w:space="0" w:color="auto"/>
            <w:left w:val="none" w:sz="0" w:space="0" w:color="auto"/>
            <w:bottom w:val="none" w:sz="0" w:space="0" w:color="auto"/>
            <w:right w:val="none" w:sz="0" w:space="0" w:color="auto"/>
          </w:divBdr>
        </w:div>
      </w:divsChild>
    </w:div>
    <w:div w:id="781993560">
      <w:bodyDiv w:val="1"/>
      <w:marLeft w:val="0"/>
      <w:marRight w:val="0"/>
      <w:marTop w:val="0"/>
      <w:marBottom w:val="0"/>
      <w:divBdr>
        <w:top w:val="none" w:sz="0" w:space="0" w:color="auto"/>
        <w:left w:val="none" w:sz="0" w:space="0" w:color="auto"/>
        <w:bottom w:val="none" w:sz="0" w:space="0" w:color="auto"/>
        <w:right w:val="none" w:sz="0" w:space="0" w:color="auto"/>
      </w:divBdr>
    </w:div>
    <w:div w:id="1359307326">
      <w:bodyDiv w:val="1"/>
      <w:marLeft w:val="0"/>
      <w:marRight w:val="0"/>
      <w:marTop w:val="0"/>
      <w:marBottom w:val="0"/>
      <w:divBdr>
        <w:top w:val="none" w:sz="0" w:space="0" w:color="auto"/>
        <w:left w:val="none" w:sz="0" w:space="0" w:color="auto"/>
        <w:bottom w:val="none" w:sz="0" w:space="0" w:color="auto"/>
        <w:right w:val="none" w:sz="0" w:space="0" w:color="auto"/>
      </w:divBdr>
    </w:div>
    <w:div w:id="1413048011">
      <w:bodyDiv w:val="1"/>
      <w:marLeft w:val="0"/>
      <w:marRight w:val="0"/>
      <w:marTop w:val="0"/>
      <w:marBottom w:val="0"/>
      <w:divBdr>
        <w:top w:val="none" w:sz="0" w:space="0" w:color="auto"/>
        <w:left w:val="none" w:sz="0" w:space="0" w:color="auto"/>
        <w:bottom w:val="none" w:sz="0" w:space="0" w:color="auto"/>
        <w:right w:val="none" w:sz="0" w:space="0" w:color="auto"/>
      </w:divBdr>
    </w:div>
    <w:div w:id="1534340556">
      <w:bodyDiv w:val="1"/>
      <w:marLeft w:val="0"/>
      <w:marRight w:val="0"/>
      <w:marTop w:val="0"/>
      <w:marBottom w:val="0"/>
      <w:divBdr>
        <w:top w:val="none" w:sz="0" w:space="0" w:color="auto"/>
        <w:left w:val="none" w:sz="0" w:space="0" w:color="auto"/>
        <w:bottom w:val="none" w:sz="0" w:space="0" w:color="auto"/>
        <w:right w:val="none" w:sz="0" w:space="0" w:color="auto"/>
      </w:divBdr>
      <w:divsChild>
        <w:div w:id="243926877">
          <w:marLeft w:val="0"/>
          <w:marRight w:val="0"/>
          <w:marTop w:val="0"/>
          <w:marBottom w:val="0"/>
          <w:divBdr>
            <w:top w:val="none" w:sz="0" w:space="0" w:color="auto"/>
            <w:left w:val="none" w:sz="0" w:space="0" w:color="auto"/>
            <w:bottom w:val="none" w:sz="0" w:space="0" w:color="auto"/>
            <w:right w:val="none" w:sz="0" w:space="0" w:color="auto"/>
          </w:divBdr>
        </w:div>
        <w:div w:id="12810552">
          <w:marLeft w:val="0"/>
          <w:marRight w:val="0"/>
          <w:marTop w:val="0"/>
          <w:marBottom w:val="0"/>
          <w:divBdr>
            <w:top w:val="none" w:sz="0" w:space="0" w:color="auto"/>
            <w:left w:val="none" w:sz="0" w:space="0" w:color="auto"/>
            <w:bottom w:val="none" w:sz="0" w:space="0" w:color="auto"/>
            <w:right w:val="none" w:sz="0" w:space="0" w:color="auto"/>
          </w:divBdr>
        </w:div>
        <w:div w:id="395775">
          <w:marLeft w:val="0"/>
          <w:marRight w:val="0"/>
          <w:marTop w:val="0"/>
          <w:marBottom w:val="0"/>
          <w:divBdr>
            <w:top w:val="none" w:sz="0" w:space="0" w:color="auto"/>
            <w:left w:val="none" w:sz="0" w:space="0" w:color="auto"/>
            <w:bottom w:val="none" w:sz="0" w:space="0" w:color="auto"/>
            <w:right w:val="none" w:sz="0" w:space="0" w:color="auto"/>
          </w:divBdr>
        </w:div>
        <w:div w:id="2110083224">
          <w:marLeft w:val="0"/>
          <w:marRight w:val="0"/>
          <w:marTop w:val="0"/>
          <w:marBottom w:val="0"/>
          <w:divBdr>
            <w:top w:val="none" w:sz="0" w:space="0" w:color="auto"/>
            <w:left w:val="none" w:sz="0" w:space="0" w:color="auto"/>
            <w:bottom w:val="none" w:sz="0" w:space="0" w:color="auto"/>
            <w:right w:val="none" w:sz="0" w:space="0" w:color="auto"/>
          </w:divBdr>
        </w:div>
        <w:div w:id="73400966">
          <w:marLeft w:val="0"/>
          <w:marRight w:val="0"/>
          <w:marTop w:val="0"/>
          <w:marBottom w:val="0"/>
          <w:divBdr>
            <w:top w:val="none" w:sz="0" w:space="0" w:color="auto"/>
            <w:left w:val="none" w:sz="0" w:space="0" w:color="auto"/>
            <w:bottom w:val="none" w:sz="0" w:space="0" w:color="auto"/>
            <w:right w:val="none" w:sz="0" w:space="0" w:color="auto"/>
          </w:divBdr>
        </w:div>
      </w:divsChild>
    </w:div>
    <w:div w:id="1633247931">
      <w:bodyDiv w:val="1"/>
      <w:marLeft w:val="0"/>
      <w:marRight w:val="0"/>
      <w:marTop w:val="0"/>
      <w:marBottom w:val="0"/>
      <w:divBdr>
        <w:top w:val="none" w:sz="0" w:space="0" w:color="auto"/>
        <w:left w:val="none" w:sz="0" w:space="0" w:color="auto"/>
        <w:bottom w:val="none" w:sz="0" w:space="0" w:color="auto"/>
        <w:right w:val="none" w:sz="0" w:space="0" w:color="auto"/>
      </w:divBdr>
    </w:div>
    <w:div w:id="1846704380">
      <w:bodyDiv w:val="1"/>
      <w:marLeft w:val="0"/>
      <w:marRight w:val="0"/>
      <w:marTop w:val="0"/>
      <w:marBottom w:val="0"/>
      <w:divBdr>
        <w:top w:val="none" w:sz="0" w:space="0" w:color="auto"/>
        <w:left w:val="none" w:sz="0" w:space="0" w:color="auto"/>
        <w:bottom w:val="none" w:sz="0" w:space="0" w:color="auto"/>
        <w:right w:val="none" w:sz="0" w:space="0" w:color="auto"/>
      </w:divBdr>
    </w:div>
    <w:div w:id="1877503817">
      <w:bodyDiv w:val="1"/>
      <w:marLeft w:val="0"/>
      <w:marRight w:val="0"/>
      <w:marTop w:val="0"/>
      <w:marBottom w:val="0"/>
      <w:divBdr>
        <w:top w:val="none" w:sz="0" w:space="0" w:color="auto"/>
        <w:left w:val="none" w:sz="0" w:space="0" w:color="auto"/>
        <w:bottom w:val="none" w:sz="0" w:space="0" w:color="auto"/>
        <w:right w:val="none" w:sz="0" w:space="0" w:color="auto"/>
      </w:divBdr>
    </w:div>
    <w:div w:id="18816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2538-D18D-41F0-B0D2-29D9A33E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Kananelo Mosito</dc:creator>
  <cp:keywords/>
  <dc:description/>
  <cp:lastModifiedBy>Relebohile Sehapi</cp:lastModifiedBy>
  <cp:revision>6</cp:revision>
  <dcterms:created xsi:type="dcterms:W3CDTF">2020-05-29T10:33:00Z</dcterms:created>
  <dcterms:modified xsi:type="dcterms:W3CDTF">2020-06-22T10:48:00Z</dcterms:modified>
</cp:coreProperties>
</file>